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E33D" w14:textId="77777777" w:rsidR="006428CF" w:rsidRDefault="006428CF" w:rsidP="006428CF">
      <w:pPr>
        <w:jc w:val="center"/>
        <w:rPr>
          <w:rFonts w:cstheme="minorHAnsi"/>
          <w:sz w:val="90"/>
          <w:szCs w:val="90"/>
        </w:rPr>
      </w:pPr>
    </w:p>
    <w:p w14:paraId="24E0307A" w14:textId="77777777" w:rsidR="006428CF" w:rsidRDefault="006428CF" w:rsidP="006428CF">
      <w:pPr>
        <w:jc w:val="center"/>
        <w:rPr>
          <w:rFonts w:cstheme="minorHAnsi"/>
          <w:sz w:val="90"/>
          <w:szCs w:val="90"/>
        </w:rPr>
      </w:pPr>
      <w:bookmarkStart w:id="0" w:name="_GoBack"/>
      <w:bookmarkEnd w:id="0"/>
    </w:p>
    <w:p w14:paraId="5712D80C" w14:textId="77777777" w:rsidR="006428CF" w:rsidRDefault="006428CF" w:rsidP="006428CF">
      <w:pPr>
        <w:jc w:val="center"/>
        <w:rPr>
          <w:rFonts w:cstheme="minorHAnsi"/>
          <w:sz w:val="90"/>
          <w:szCs w:val="90"/>
        </w:rPr>
      </w:pPr>
    </w:p>
    <w:p w14:paraId="4286981A" w14:textId="08F720F9" w:rsidR="006428CF" w:rsidRPr="006428CF" w:rsidRDefault="006428CF" w:rsidP="006428CF">
      <w:pPr>
        <w:jc w:val="center"/>
        <w:rPr>
          <w:rFonts w:cstheme="minorHAnsi"/>
          <w:b/>
          <w:bCs/>
          <w:sz w:val="90"/>
          <w:szCs w:val="90"/>
        </w:rPr>
      </w:pPr>
      <w:r w:rsidRPr="006428CF">
        <w:rPr>
          <w:rFonts w:cstheme="minorHAnsi"/>
          <w:sz w:val="90"/>
          <w:szCs w:val="90"/>
        </w:rPr>
        <w:t xml:space="preserve">PROCESSO INTERNO DE </w:t>
      </w:r>
      <w:r w:rsidRPr="006428CF">
        <w:rPr>
          <w:rFonts w:cstheme="minorHAnsi"/>
          <w:b/>
          <w:bCs/>
          <w:sz w:val="90"/>
          <w:szCs w:val="90"/>
        </w:rPr>
        <w:t>CREDENCIAMENTO</w:t>
      </w:r>
    </w:p>
    <w:p w14:paraId="4085F2B7" w14:textId="77777777" w:rsidR="006428CF" w:rsidRDefault="006428CF" w:rsidP="006428CF">
      <w:pPr>
        <w:spacing w:after="120" w:line="360" w:lineRule="auto"/>
        <w:rPr>
          <w:rFonts w:ascii="Syncopate bold" w:hAnsi="Syncopate bold" w:cs="Open Sans"/>
          <w:b/>
        </w:rPr>
      </w:pPr>
    </w:p>
    <w:p w14:paraId="6DBD2514" w14:textId="77777777" w:rsidR="006428CF" w:rsidRDefault="006428CF" w:rsidP="006428CF">
      <w:pPr>
        <w:spacing w:after="120" w:line="360" w:lineRule="auto"/>
        <w:rPr>
          <w:rFonts w:ascii="Syncopate bold" w:hAnsi="Syncopate bold" w:cs="Open Sans"/>
          <w:b/>
        </w:rPr>
      </w:pPr>
    </w:p>
    <w:p w14:paraId="01B8F4E4" w14:textId="4083D1BE" w:rsidR="00C3346A" w:rsidRPr="006428CF" w:rsidRDefault="006428CF" w:rsidP="006428CF">
      <w:pPr>
        <w:spacing w:after="120" w:line="360" w:lineRule="auto"/>
        <w:jc w:val="center"/>
        <w:rPr>
          <w:rFonts w:cstheme="minorHAnsi"/>
          <w:b/>
          <w:spacing w:val="20"/>
          <w:sz w:val="26"/>
          <w:szCs w:val="26"/>
        </w:rPr>
      </w:pPr>
      <w:r w:rsidRPr="00FC7EA8">
        <w:rPr>
          <w:rFonts w:cstheme="minorHAnsi"/>
          <w:b/>
          <w:spacing w:val="20"/>
          <w:sz w:val="26"/>
          <w:szCs w:val="26"/>
        </w:rPr>
        <w:t xml:space="preserve">INSTITUTO DE PREVIDÊNCIA DO MUNICÍPIO DE </w:t>
      </w:r>
      <w:r w:rsidR="00812491" w:rsidRPr="00812491">
        <w:rPr>
          <w:rFonts w:cstheme="minorHAnsi"/>
          <w:b/>
          <w:spacing w:val="20"/>
          <w:sz w:val="26"/>
          <w:szCs w:val="26"/>
        </w:rPr>
        <w:t>JARDIM DO SERIDÓ</w:t>
      </w:r>
    </w:p>
    <w:p w14:paraId="514A1287" w14:textId="77777777" w:rsidR="00C3346A" w:rsidRDefault="00C3346A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</w:rPr>
      </w:pPr>
    </w:p>
    <w:p w14:paraId="4E91C1CD" w14:textId="77777777" w:rsidR="00C3346A" w:rsidRDefault="00C3346A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</w:rPr>
      </w:pPr>
    </w:p>
    <w:p w14:paraId="3C66C328" w14:textId="77777777" w:rsidR="00C3346A" w:rsidRDefault="00C3346A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</w:rPr>
      </w:pPr>
    </w:p>
    <w:p w14:paraId="05A3B5F0" w14:textId="77777777" w:rsidR="00C3346A" w:rsidRDefault="00C3346A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</w:rPr>
      </w:pPr>
    </w:p>
    <w:p w14:paraId="082C221A" w14:textId="77777777" w:rsidR="00C3346A" w:rsidRPr="009377E1" w:rsidRDefault="00C3346A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4282B0AF" w14:textId="6A2A5F3B" w:rsidR="00C3346A" w:rsidRDefault="00C3346A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76943D69" w14:textId="3004E353" w:rsidR="00AC7697" w:rsidRDefault="00AC769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4691BC7F" w14:textId="5FF929B4" w:rsidR="00AC7697" w:rsidRDefault="00AC769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57DB02C7" w14:textId="77777777" w:rsidR="0033307B" w:rsidRDefault="0033307B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B6BB6C9" w14:textId="77777777" w:rsidR="0033307B" w:rsidRDefault="0033307B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6EB8878" w14:textId="77777777" w:rsidR="0033307B" w:rsidRDefault="0033307B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C2CABA2" w14:textId="77777777" w:rsidR="0033307B" w:rsidRDefault="0033307B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0B2D9E99" w14:textId="77777777" w:rsidR="0033307B" w:rsidRDefault="0033307B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7567BF6" w14:textId="58C1502C" w:rsidR="00F433B1" w:rsidRPr="00AC7697" w:rsidRDefault="00F433B1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AC7697">
        <w:rPr>
          <w:rFonts w:ascii="Open Sans" w:hAnsi="Open Sans" w:cs="Open Sans"/>
          <w:color w:val="000000"/>
          <w:sz w:val="20"/>
          <w:szCs w:val="20"/>
        </w:rPr>
        <w:t xml:space="preserve">No site do </w:t>
      </w:r>
      <w:r w:rsidRPr="0033307B">
        <w:rPr>
          <w:rFonts w:ascii="Open Sans" w:hAnsi="Open Sans" w:cs="Open Sans"/>
          <w:color w:val="000000"/>
          <w:sz w:val="20"/>
          <w:szCs w:val="20"/>
          <w:highlight w:val="yellow"/>
        </w:rPr>
        <w:t>RPPS</w:t>
      </w:r>
      <w:r w:rsidRPr="00AC7697">
        <w:rPr>
          <w:rFonts w:ascii="Open Sans" w:hAnsi="Open Sans" w:cs="Open Sans"/>
          <w:color w:val="000000"/>
          <w:sz w:val="20"/>
          <w:szCs w:val="20"/>
        </w:rPr>
        <w:t xml:space="preserve"> há o Manual de Credenciamento, atualizado em </w:t>
      </w:r>
      <w:r w:rsidRPr="0033307B">
        <w:rPr>
          <w:rFonts w:ascii="Open Sans" w:hAnsi="Open Sans" w:cs="Open Sans"/>
          <w:color w:val="000000"/>
          <w:sz w:val="20"/>
          <w:szCs w:val="20"/>
          <w:highlight w:val="yellow"/>
        </w:rPr>
        <w:t>janeiro de 2023</w:t>
      </w:r>
      <w:r w:rsidRPr="00AC7697">
        <w:rPr>
          <w:rFonts w:ascii="Open Sans" w:hAnsi="Open Sans" w:cs="Open Sans"/>
          <w:color w:val="000000"/>
          <w:sz w:val="20"/>
          <w:szCs w:val="20"/>
        </w:rPr>
        <w:t>, que deverá ser atualizado conforme alterações realizadas nas normas que dispõem sobre os investimentos dos RPPS.</w:t>
      </w:r>
    </w:p>
    <w:p w14:paraId="29DC2309" w14:textId="1A74188F" w:rsidR="00AA1C8F" w:rsidRPr="00AC7697" w:rsidRDefault="00F433B1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AC7697">
        <w:rPr>
          <w:rFonts w:ascii="Open Sans" w:hAnsi="Open Sans" w:cs="Open Sans"/>
          <w:color w:val="000000"/>
          <w:sz w:val="20"/>
          <w:szCs w:val="20"/>
        </w:rPr>
        <w:t>Há</w:t>
      </w:r>
      <w:r w:rsidR="0033307B">
        <w:rPr>
          <w:rFonts w:ascii="Open Sans" w:hAnsi="Open Sans" w:cs="Open Sans"/>
          <w:color w:val="000000"/>
          <w:sz w:val="20"/>
          <w:szCs w:val="20"/>
        </w:rPr>
        <w:t>,</w:t>
      </w:r>
      <w:r w:rsidRPr="00AC7697">
        <w:rPr>
          <w:rFonts w:ascii="Open Sans" w:hAnsi="Open Sans" w:cs="Open Sans"/>
          <w:color w:val="000000"/>
          <w:sz w:val="20"/>
          <w:szCs w:val="20"/>
        </w:rPr>
        <w:t xml:space="preserve"> ainda</w:t>
      </w:r>
      <w:r w:rsidR="0033307B">
        <w:rPr>
          <w:rFonts w:ascii="Open Sans" w:hAnsi="Open Sans" w:cs="Open Sans"/>
          <w:color w:val="000000"/>
          <w:sz w:val="20"/>
          <w:szCs w:val="20"/>
        </w:rPr>
        <w:t>,</w:t>
      </w:r>
      <w:r w:rsidRPr="00AC769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C3346A" w:rsidRPr="00AC7697">
        <w:rPr>
          <w:rFonts w:ascii="Open Sans" w:hAnsi="Open Sans" w:cs="Open Sans"/>
          <w:color w:val="000000"/>
          <w:sz w:val="20"/>
          <w:szCs w:val="20"/>
        </w:rPr>
        <w:t>a ilustração do</w:t>
      </w:r>
      <w:r w:rsidRPr="00AC7697">
        <w:rPr>
          <w:rFonts w:ascii="Open Sans" w:hAnsi="Open Sans" w:cs="Open Sans"/>
          <w:color w:val="000000"/>
          <w:sz w:val="20"/>
          <w:szCs w:val="20"/>
        </w:rPr>
        <w:t xml:space="preserve"> fluxo</w:t>
      </w:r>
      <w:r w:rsidR="00C3346A" w:rsidRPr="00AC7697">
        <w:rPr>
          <w:rFonts w:ascii="Open Sans" w:hAnsi="Open Sans" w:cs="Open Sans"/>
          <w:color w:val="000000"/>
          <w:sz w:val="20"/>
          <w:szCs w:val="20"/>
        </w:rPr>
        <w:t xml:space="preserve"> do processo de credenciamento</w:t>
      </w:r>
      <w:r w:rsidRPr="00AC7697">
        <w:rPr>
          <w:rFonts w:ascii="Open Sans" w:hAnsi="Open Sans" w:cs="Open Sans"/>
          <w:color w:val="000000"/>
          <w:sz w:val="20"/>
          <w:szCs w:val="20"/>
        </w:rPr>
        <w:t xml:space="preserve">, a seguir demonstrado, que deverá ser seguido conforme separação de responsabilidades ali definida. Qualquer alteração, interrupção ou deficiência verificada nesse </w:t>
      </w:r>
      <w:r w:rsidR="00C3346A" w:rsidRPr="00AC7697">
        <w:rPr>
          <w:rFonts w:ascii="Open Sans" w:hAnsi="Open Sans" w:cs="Open Sans"/>
          <w:color w:val="000000"/>
          <w:sz w:val="20"/>
          <w:szCs w:val="20"/>
        </w:rPr>
        <w:t>processo</w:t>
      </w:r>
      <w:r w:rsidRPr="00AC7697">
        <w:rPr>
          <w:rFonts w:ascii="Open Sans" w:hAnsi="Open Sans" w:cs="Open Sans"/>
          <w:color w:val="000000"/>
          <w:sz w:val="20"/>
          <w:szCs w:val="20"/>
        </w:rPr>
        <w:t xml:space="preserve"> deverá ser imediatamente comunicada ao Comitê de Investimentos</w:t>
      </w:r>
      <w:r w:rsidR="006428CF">
        <w:rPr>
          <w:rFonts w:ascii="Open Sans" w:hAnsi="Open Sans" w:cs="Open Sans"/>
          <w:color w:val="000000"/>
          <w:sz w:val="20"/>
          <w:szCs w:val="20"/>
        </w:rPr>
        <w:t>,</w:t>
      </w:r>
      <w:r w:rsidRPr="00AC7697">
        <w:rPr>
          <w:rFonts w:ascii="Open Sans" w:hAnsi="Open Sans" w:cs="Open Sans"/>
          <w:color w:val="000000"/>
          <w:sz w:val="20"/>
          <w:szCs w:val="20"/>
        </w:rPr>
        <w:t xml:space="preserve"> que deverá deliberar sobre tal situação.   </w:t>
      </w:r>
    </w:p>
    <w:p w14:paraId="6049234F" w14:textId="463FE7AB" w:rsidR="003A1123" w:rsidRDefault="00C3346A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AC7697">
        <w:rPr>
          <w:rFonts w:ascii="Open Sans" w:hAnsi="Open Sans" w:cs="Open Sans"/>
          <w:color w:val="000000"/>
          <w:sz w:val="20"/>
          <w:szCs w:val="20"/>
        </w:rPr>
        <w:t xml:space="preserve">A </w:t>
      </w:r>
      <w:r w:rsidR="007B6EB4" w:rsidRPr="00AC7697">
        <w:rPr>
          <w:rFonts w:ascii="Open Sans" w:hAnsi="Open Sans" w:cs="Open Sans"/>
          <w:color w:val="000000"/>
          <w:sz w:val="20"/>
          <w:szCs w:val="20"/>
        </w:rPr>
        <w:t>LEMA</w:t>
      </w:r>
      <w:r w:rsidRPr="00AC7697">
        <w:rPr>
          <w:rFonts w:ascii="Open Sans" w:hAnsi="Open Sans" w:cs="Open Sans"/>
          <w:color w:val="000000"/>
          <w:sz w:val="20"/>
          <w:szCs w:val="20"/>
        </w:rPr>
        <w:t xml:space="preserve">, consultoria de investimentos contratada, poderá </w:t>
      </w:r>
      <w:r w:rsidR="00182AAC">
        <w:rPr>
          <w:rFonts w:ascii="Open Sans" w:hAnsi="Open Sans" w:cs="Open Sans"/>
          <w:color w:val="000000"/>
          <w:sz w:val="20"/>
          <w:szCs w:val="20"/>
        </w:rPr>
        <w:t>auxiliar</w:t>
      </w:r>
      <w:r w:rsidRPr="00AC769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82AAC">
        <w:rPr>
          <w:rFonts w:ascii="Open Sans" w:hAnsi="Open Sans" w:cs="Open Sans"/>
          <w:color w:val="000000"/>
          <w:sz w:val="20"/>
          <w:szCs w:val="20"/>
        </w:rPr>
        <w:t>n</w:t>
      </w:r>
      <w:r w:rsidR="00AC7697">
        <w:rPr>
          <w:rFonts w:ascii="Open Sans" w:hAnsi="Open Sans" w:cs="Open Sans"/>
          <w:color w:val="000000"/>
          <w:sz w:val="20"/>
          <w:szCs w:val="20"/>
        </w:rPr>
        <w:t>o processo</w:t>
      </w:r>
      <w:r w:rsidRPr="00AC7697">
        <w:rPr>
          <w:rFonts w:ascii="Open Sans" w:hAnsi="Open Sans" w:cs="Open Sans"/>
          <w:color w:val="000000"/>
          <w:sz w:val="20"/>
          <w:szCs w:val="20"/>
        </w:rPr>
        <w:t>.</w:t>
      </w:r>
    </w:p>
    <w:p w14:paraId="5CE996E0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288172B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A322FE8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A36D797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7C24A62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C00F8ED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640C99A3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0286D08E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41B819C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DBA9DCC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CC46A5C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8C5321C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27F37D4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071A4FB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080EEB9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2198ADD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04F14A63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4FFA5EE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4AE9313" w14:textId="77777777" w:rsidR="00FC6687" w:rsidRDefault="00FC6687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sdt>
      <w:sdtPr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id w:val="229055177"/>
        <w:docPartObj>
          <w:docPartGallery w:val="Table of Contents"/>
          <w:docPartUnique/>
        </w:docPartObj>
      </w:sdtPr>
      <w:sdtEndPr>
        <w:rPr>
          <w:rFonts w:cstheme="minorBidi"/>
          <w:b w:val="0"/>
          <w:bCs w:val="0"/>
          <w:color w:val="auto"/>
          <w:sz w:val="22"/>
          <w:szCs w:val="22"/>
        </w:rPr>
      </w:sdtEndPr>
      <w:sdtContent>
        <w:p w14:paraId="144D7E6E" w14:textId="7866F82D" w:rsidR="00DE416E" w:rsidRDefault="00DE416E">
          <w:pPr>
            <w:pStyle w:val="CabealhodoSumrio"/>
            <w:rPr>
              <w:rFonts w:asciiTheme="minorHAnsi" w:hAnsiTheme="minorHAnsi" w:cstheme="minorHAnsi"/>
              <w:b/>
              <w:bCs/>
              <w:color w:val="000000" w:themeColor="text1"/>
              <w:sz w:val="24"/>
              <w:szCs w:val="24"/>
            </w:rPr>
          </w:pPr>
          <w:r w:rsidRPr="00DE416E">
            <w:rPr>
              <w:rFonts w:asciiTheme="minorHAnsi" w:hAnsiTheme="minorHAnsi" w:cstheme="minorHAnsi"/>
              <w:b/>
              <w:bCs/>
              <w:color w:val="000000" w:themeColor="text1"/>
              <w:sz w:val="24"/>
              <w:szCs w:val="24"/>
            </w:rPr>
            <w:t>SUMÁRIO</w:t>
          </w:r>
        </w:p>
        <w:p w14:paraId="214BD02F" w14:textId="77777777" w:rsidR="00DE416E" w:rsidRPr="00DE416E" w:rsidRDefault="00DE416E" w:rsidP="00DE416E">
          <w:pPr>
            <w:rPr>
              <w:lang w:eastAsia="pt-BR"/>
            </w:rPr>
          </w:pPr>
        </w:p>
        <w:p w14:paraId="7BF80B9D" w14:textId="69A2B3C5" w:rsidR="00DE416E" w:rsidRDefault="00DE416E" w:rsidP="00047BA6">
          <w:pPr>
            <w:pStyle w:val="Sumrio1"/>
            <w:numPr>
              <w:ilvl w:val="0"/>
              <w:numId w:val="8"/>
            </w:numPr>
          </w:pPr>
          <w:r>
            <w:rPr>
              <w:b/>
              <w:bCs/>
            </w:rPr>
            <w:t>CREDENCIAMENTO</w:t>
          </w:r>
          <w:r>
            <w:ptab w:relativeTo="margin" w:alignment="right" w:leader="dot"/>
          </w:r>
          <w:r w:rsidR="0033307B">
            <w:rPr>
              <w:b/>
              <w:bCs/>
            </w:rPr>
            <w:t>4</w:t>
          </w:r>
        </w:p>
        <w:p w14:paraId="28205611" w14:textId="620A1839" w:rsidR="00DE416E" w:rsidRDefault="00047BA6" w:rsidP="00047BA6">
          <w:pPr>
            <w:pStyle w:val="Sumrio2"/>
            <w:ind w:left="708"/>
          </w:pPr>
          <w:r>
            <w:t xml:space="preserve">1.1 </w:t>
          </w:r>
          <w:r w:rsidR="00DE416E">
            <w:t>PROCEDIMENTO E DISPOSIÇÕES LEGAIS</w:t>
          </w:r>
          <w:r w:rsidR="00DE416E">
            <w:ptab w:relativeTo="margin" w:alignment="right" w:leader="dot"/>
          </w:r>
          <w:r w:rsidR="0033307B">
            <w:t>4</w:t>
          </w:r>
        </w:p>
        <w:p w14:paraId="565EAABD" w14:textId="4DF13437" w:rsidR="00DE416E" w:rsidRPr="00DE416E" w:rsidRDefault="00047BA6" w:rsidP="00047BA6">
          <w:pPr>
            <w:pStyle w:val="Sumrio2"/>
            <w:ind w:left="708"/>
          </w:pPr>
          <w:r>
            <w:t xml:space="preserve">1.2 </w:t>
          </w:r>
          <w:r w:rsidR="00DE416E">
            <w:t>RESPONSABILIDADES</w:t>
          </w:r>
          <w:r w:rsidR="00DE416E">
            <w:ptab w:relativeTo="margin" w:alignment="right" w:leader="dot"/>
          </w:r>
          <w:r w:rsidR="0033307B">
            <w:t>4</w:t>
          </w:r>
        </w:p>
        <w:p w14:paraId="64B732C1" w14:textId="2752BE73" w:rsidR="00DE416E" w:rsidRPr="00DE416E" w:rsidRDefault="00047BA6" w:rsidP="00047BA6">
          <w:pPr>
            <w:pStyle w:val="Sumrio2"/>
            <w:ind w:left="708"/>
          </w:pPr>
          <w:r>
            <w:t xml:space="preserve">1.3 </w:t>
          </w:r>
          <w:r w:rsidR="00DE416E">
            <w:t>MANUAL DE CREDENCIAMENTO</w:t>
          </w:r>
          <w:r w:rsidR="00DE416E">
            <w:ptab w:relativeTo="margin" w:alignment="right" w:leader="dot"/>
          </w:r>
          <w:r w:rsidR="0033307B">
            <w:t>4</w:t>
          </w:r>
        </w:p>
        <w:p w14:paraId="5A7991A6" w14:textId="243C7045" w:rsidR="00DE416E" w:rsidRPr="00DE416E" w:rsidRDefault="00047BA6" w:rsidP="00047BA6">
          <w:pPr>
            <w:pStyle w:val="Sumrio2"/>
            <w:ind w:left="708"/>
          </w:pPr>
          <w:r>
            <w:t xml:space="preserve">1.4 </w:t>
          </w:r>
          <w:r w:rsidR="00DE416E">
            <w:t>VEDAÇÕES</w:t>
          </w:r>
          <w:r w:rsidR="00DE416E">
            <w:ptab w:relativeTo="margin" w:alignment="right" w:leader="dot"/>
          </w:r>
          <w:r w:rsidR="0033307B">
            <w:t>4</w:t>
          </w:r>
        </w:p>
        <w:p w14:paraId="7ABD9734" w14:textId="77777777" w:rsidR="00DE416E" w:rsidRPr="00DE416E" w:rsidRDefault="00DE416E" w:rsidP="00DE416E">
          <w:pPr>
            <w:rPr>
              <w:lang w:eastAsia="pt-BR"/>
            </w:rPr>
          </w:pPr>
        </w:p>
        <w:p w14:paraId="5557029F" w14:textId="04CEE23E" w:rsidR="00DE416E" w:rsidRDefault="00DE416E" w:rsidP="00047BA6">
          <w:pPr>
            <w:pStyle w:val="Sumrio1"/>
            <w:numPr>
              <w:ilvl w:val="0"/>
              <w:numId w:val="8"/>
            </w:numPr>
          </w:pPr>
          <w:r>
            <w:rPr>
              <w:b/>
              <w:bCs/>
            </w:rPr>
            <w:t>PROCESSO DE CREDENCIAMENTO</w:t>
          </w:r>
          <w:r>
            <w:ptab w:relativeTo="margin" w:alignment="right" w:leader="dot"/>
          </w:r>
          <w:r w:rsidR="0033307B">
            <w:rPr>
              <w:b/>
              <w:bCs/>
            </w:rPr>
            <w:t>5</w:t>
          </w:r>
        </w:p>
        <w:p w14:paraId="060C7804" w14:textId="58241CDE" w:rsidR="00DE416E" w:rsidRDefault="00047BA6" w:rsidP="00047BA6">
          <w:pPr>
            <w:pStyle w:val="Sumrio2"/>
            <w:ind w:left="708"/>
          </w:pPr>
          <w:r>
            <w:t xml:space="preserve">2.1 </w:t>
          </w:r>
          <w:r w:rsidR="00DE416E">
            <w:t>FLUXO DO PROCESSO DE CREDENCIAMENTO</w:t>
          </w:r>
          <w:r w:rsidR="00DE416E">
            <w:ptab w:relativeTo="margin" w:alignment="right" w:leader="dot"/>
          </w:r>
          <w:r w:rsidR="0033307B">
            <w:t>5</w:t>
          </w:r>
        </w:p>
        <w:p w14:paraId="36935315" w14:textId="1662B7AD" w:rsidR="00DE416E" w:rsidRDefault="00047BA6" w:rsidP="00047BA6">
          <w:pPr>
            <w:pStyle w:val="Sumrio2"/>
            <w:ind w:left="708"/>
          </w:pPr>
          <w:r>
            <w:t xml:space="preserve">2.2 </w:t>
          </w:r>
          <w:r w:rsidR="00DE416E">
            <w:t>PROCESSO DETALHADO DE CREDENCIAMENTO</w:t>
          </w:r>
          <w:r w:rsidR="00DE416E">
            <w:ptab w:relativeTo="margin" w:alignment="right" w:leader="dot"/>
          </w:r>
          <w:r w:rsidR="0033307B">
            <w:t>5</w:t>
          </w:r>
        </w:p>
        <w:p w14:paraId="3EC2DD92" w14:textId="34A2EC9D" w:rsidR="00DE416E" w:rsidRDefault="00047BA6" w:rsidP="00047BA6">
          <w:pPr>
            <w:pStyle w:val="Sumrio3"/>
            <w:ind w:left="1416"/>
          </w:pPr>
          <w:r>
            <w:t xml:space="preserve">2.2.1 </w:t>
          </w:r>
          <w:r w:rsidR="00DE416E">
            <w:t>ABERTURA DE PROCESSO DE CREDENCIAMENTO</w:t>
          </w:r>
          <w:r w:rsidR="00DE416E">
            <w:ptab w:relativeTo="margin" w:alignment="right" w:leader="dot"/>
          </w:r>
          <w:r w:rsidR="0033307B">
            <w:t>5</w:t>
          </w:r>
        </w:p>
        <w:p w14:paraId="54BB0C45" w14:textId="0D485500" w:rsidR="00DE416E" w:rsidRDefault="00047BA6" w:rsidP="00047BA6">
          <w:pPr>
            <w:pStyle w:val="Sumrio3"/>
            <w:ind w:left="1416"/>
          </w:pPr>
          <w:r>
            <w:t xml:space="preserve">2.2.2 </w:t>
          </w:r>
          <w:r w:rsidR="00DE416E">
            <w:t>RECEPÇÃO DE DOCUMENTAÇÃO</w:t>
          </w:r>
          <w:r w:rsidR="00DE416E">
            <w:ptab w:relativeTo="margin" w:alignment="right" w:leader="dot"/>
          </w:r>
          <w:r w:rsidR="0033307B">
            <w:t>6</w:t>
          </w:r>
        </w:p>
        <w:p w14:paraId="782019B8" w14:textId="107262A7" w:rsidR="00DE416E" w:rsidRDefault="00047BA6" w:rsidP="00047BA6">
          <w:pPr>
            <w:pStyle w:val="Sumrio3"/>
            <w:ind w:left="1416"/>
          </w:pPr>
          <w:r>
            <w:t xml:space="preserve">2.2.3 </w:t>
          </w:r>
          <w:r w:rsidR="00DE416E">
            <w:t>ANÁLISE DA DOCUMENTAÇÃO</w:t>
          </w:r>
          <w:r w:rsidR="00DE416E">
            <w:ptab w:relativeTo="margin" w:alignment="right" w:leader="dot"/>
          </w:r>
          <w:r w:rsidR="0033307B">
            <w:t>6</w:t>
          </w:r>
        </w:p>
        <w:p w14:paraId="076C4812" w14:textId="0AB72AB0" w:rsidR="00DE416E" w:rsidRDefault="00047BA6" w:rsidP="00047BA6">
          <w:pPr>
            <w:pStyle w:val="Sumrio3"/>
            <w:ind w:left="1416"/>
          </w:pPr>
          <w:r>
            <w:t xml:space="preserve">2.2.4 </w:t>
          </w:r>
          <w:r w:rsidR="00DE416E">
            <w:t>PREENCHIMENTO DO TERMO</w:t>
          </w:r>
          <w:r w:rsidR="00DE416E">
            <w:ptab w:relativeTo="margin" w:alignment="right" w:leader="dot"/>
          </w:r>
          <w:r w:rsidR="0033307B">
            <w:t>6</w:t>
          </w:r>
        </w:p>
        <w:p w14:paraId="3BD9370D" w14:textId="255EB02F" w:rsidR="00DE416E" w:rsidRDefault="00047BA6" w:rsidP="00047BA6">
          <w:pPr>
            <w:pStyle w:val="Sumrio3"/>
            <w:ind w:left="1416"/>
          </w:pPr>
          <w:r>
            <w:t xml:space="preserve">2.2.5 </w:t>
          </w:r>
          <w:r w:rsidR="00DE416E">
            <w:t>ENVIO PARA O COMITÊ DE INVESTIMENTOS E DELIBERAÇÃO</w:t>
          </w:r>
          <w:r w:rsidR="00DE416E">
            <w:ptab w:relativeTo="margin" w:alignment="right" w:leader="dot"/>
          </w:r>
          <w:r w:rsidR="0033307B">
            <w:t>7</w:t>
          </w:r>
        </w:p>
        <w:p w14:paraId="4BD594B9" w14:textId="72118321" w:rsidR="00DE416E" w:rsidRDefault="00047BA6" w:rsidP="00047BA6">
          <w:pPr>
            <w:pStyle w:val="Sumrio3"/>
            <w:ind w:left="1416"/>
          </w:pPr>
          <w:r>
            <w:t xml:space="preserve">2.2.6 </w:t>
          </w:r>
          <w:r w:rsidR="00DE416E">
            <w:t>ARQUIVAMENTO DA DOCUMENTAÇÃO</w:t>
          </w:r>
          <w:r w:rsidR="00DE416E">
            <w:ptab w:relativeTo="margin" w:alignment="right" w:leader="dot"/>
          </w:r>
          <w:r w:rsidR="0033307B">
            <w:t>7</w:t>
          </w:r>
        </w:p>
        <w:p w14:paraId="3E5B83D9" w14:textId="52CE47A3" w:rsidR="00DE416E" w:rsidRDefault="00047BA6" w:rsidP="00047BA6">
          <w:pPr>
            <w:pStyle w:val="Sumrio3"/>
            <w:ind w:left="1416"/>
          </w:pPr>
          <w:r>
            <w:t xml:space="preserve">2.2.7 </w:t>
          </w:r>
          <w:r w:rsidR="00DE416E">
            <w:t>ATUALIZAÇÃO DA LISTA DE INSTITUIÇÕES CREDENCIADAS E PUBLICAÇÃO NO SITE</w:t>
          </w:r>
          <w:r w:rsidR="00DE416E">
            <w:ptab w:relativeTo="margin" w:alignment="right" w:leader="dot"/>
          </w:r>
          <w:r w:rsidR="0033307B">
            <w:t>7</w:t>
          </w:r>
        </w:p>
        <w:p w14:paraId="0C4F9DC3" w14:textId="77777777" w:rsidR="00DE416E" w:rsidRDefault="00DE416E" w:rsidP="00DE416E">
          <w:pPr>
            <w:rPr>
              <w:lang w:eastAsia="pt-BR"/>
            </w:rPr>
          </w:pPr>
        </w:p>
        <w:p w14:paraId="6563F769" w14:textId="4792D41C" w:rsidR="00DE416E" w:rsidRDefault="00DE416E" w:rsidP="00DE416E">
          <w:pPr>
            <w:pStyle w:val="Sumrio1"/>
          </w:pPr>
          <w:r>
            <w:rPr>
              <w:b/>
              <w:bCs/>
            </w:rPr>
            <w:t>ANEXO I</w:t>
          </w:r>
          <w:r>
            <w:ptab w:relativeTo="margin" w:alignment="right" w:leader="dot"/>
          </w:r>
          <w:r w:rsidR="0033307B">
            <w:t>8</w:t>
          </w:r>
        </w:p>
        <w:p w14:paraId="2764D44C" w14:textId="75B06CEC" w:rsidR="00DE416E" w:rsidRPr="00DE416E" w:rsidRDefault="00A275B6" w:rsidP="00DE416E">
          <w:pPr>
            <w:rPr>
              <w:lang w:eastAsia="pt-BR"/>
            </w:rPr>
          </w:pPr>
        </w:p>
      </w:sdtContent>
    </w:sdt>
    <w:p w14:paraId="779BE189" w14:textId="72DEEAA8" w:rsidR="006428CF" w:rsidRDefault="006428CF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6CDD1E86" w14:textId="79E8DF4E" w:rsidR="0033307B" w:rsidRDefault="0033307B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5CBB170" w14:textId="22630A81" w:rsidR="0033307B" w:rsidRDefault="0033307B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C96B13B" w14:textId="4C1A1161" w:rsidR="0033307B" w:rsidRDefault="0033307B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F199420" w14:textId="335459F4" w:rsidR="0033307B" w:rsidRDefault="0033307B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60BC6AC" w14:textId="4CD196F1" w:rsidR="0033307B" w:rsidRDefault="0033307B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F9868F4" w14:textId="34FF2478" w:rsidR="0033307B" w:rsidRDefault="0033307B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B26E28A" w14:textId="5DCDA4E4" w:rsidR="0033307B" w:rsidRDefault="0033307B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53BBA16" w14:textId="77777777" w:rsidR="0033307B" w:rsidRDefault="0033307B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F0A4945" w14:textId="54A3CA80" w:rsidR="006428CF" w:rsidRDefault="006428CF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A9C629F" w14:textId="77777777" w:rsidR="00EC20E0" w:rsidRDefault="00EC20E0" w:rsidP="00F433B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6ABD97E1" w14:textId="73FA7368" w:rsidR="00B82782" w:rsidRPr="006428CF" w:rsidRDefault="00B82782" w:rsidP="00B8278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428CF">
        <w:rPr>
          <w:rFonts w:cstheme="minorHAnsi"/>
          <w:b/>
          <w:bCs/>
          <w:color w:val="000000"/>
          <w:sz w:val="24"/>
          <w:szCs w:val="24"/>
        </w:rPr>
        <w:t>CREDENCIAMENTO</w:t>
      </w:r>
    </w:p>
    <w:p w14:paraId="7E97255E" w14:textId="78E31889" w:rsidR="0033307B" w:rsidRPr="0033307B" w:rsidRDefault="00964190" w:rsidP="0033307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428CF">
        <w:rPr>
          <w:rFonts w:cstheme="minorHAnsi"/>
          <w:b/>
          <w:bCs/>
          <w:sz w:val="24"/>
          <w:szCs w:val="24"/>
        </w:rPr>
        <w:t>PROCEDIMENTO E DISPOSIÇÕES LEGAIS</w:t>
      </w:r>
    </w:p>
    <w:p w14:paraId="6C8407C1" w14:textId="4572E613" w:rsidR="00B82782" w:rsidRPr="006428CF" w:rsidRDefault="00B82782" w:rsidP="00731466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6428CF">
        <w:rPr>
          <w:rFonts w:cstheme="minorHAnsi"/>
          <w:color w:val="000000"/>
          <w:sz w:val="24"/>
          <w:szCs w:val="24"/>
        </w:rPr>
        <w:t xml:space="preserve">O </w:t>
      </w:r>
      <w:r w:rsidRPr="0033307B">
        <w:rPr>
          <w:rFonts w:cstheme="minorHAnsi"/>
          <w:color w:val="000000"/>
          <w:sz w:val="24"/>
          <w:szCs w:val="24"/>
          <w:highlight w:val="yellow"/>
        </w:rPr>
        <w:t>RPPS</w:t>
      </w:r>
      <w:r w:rsidRPr="006428CF">
        <w:rPr>
          <w:rFonts w:cstheme="minorHAnsi"/>
          <w:color w:val="000000"/>
          <w:sz w:val="24"/>
          <w:szCs w:val="24"/>
        </w:rPr>
        <w:t xml:space="preserve"> realizará o credenciamento de </w:t>
      </w:r>
      <w:r w:rsidR="00964190">
        <w:rPr>
          <w:rFonts w:cstheme="minorHAnsi"/>
          <w:color w:val="000000"/>
          <w:sz w:val="24"/>
          <w:szCs w:val="24"/>
        </w:rPr>
        <w:t>i</w:t>
      </w:r>
      <w:r w:rsidRPr="006428CF">
        <w:rPr>
          <w:rFonts w:cstheme="minorHAnsi"/>
          <w:color w:val="000000"/>
          <w:sz w:val="24"/>
          <w:szCs w:val="24"/>
        </w:rPr>
        <w:t xml:space="preserve">nstituições administradoras </w:t>
      </w:r>
      <w:r w:rsidR="00182AAC">
        <w:rPr>
          <w:rFonts w:cstheme="minorHAnsi"/>
          <w:color w:val="000000"/>
          <w:sz w:val="24"/>
          <w:szCs w:val="24"/>
        </w:rPr>
        <w:t xml:space="preserve">e </w:t>
      </w:r>
      <w:r w:rsidRPr="006428CF">
        <w:rPr>
          <w:rFonts w:cstheme="minorHAnsi"/>
          <w:color w:val="000000"/>
          <w:sz w:val="24"/>
          <w:szCs w:val="24"/>
        </w:rPr>
        <w:t>gestoras</w:t>
      </w:r>
      <w:r w:rsidR="00182AAC">
        <w:rPr>
          <w:rFonts w:cstheme="minorHAnsi"/>
          <w:color w:val="000000"/>
          <w:sz w:val="24"/>
          <w:szCs w:val="24"/>
        </w:rPr>
        <w:t xml:space="preserve"> de fundos de investimentos</w:t>
      </w:r>
      <w:r w:rsidRPr="006428CF">
        <w:rPr>
          <w:rFonts w:cstheme="minorHAnsi"/>
          <w:color w:val="000000"/>
          <w:sz w:val="24"/>
          <w:szCs w:val="24"/>
        </w:rPr>
        <w:t xml:space="preserve">, </w:t>
      </w:r>
      <w:r w:rsidR="00182AAC">
        <w:rPr>
          <w:rFonts w:cstheme="minorHAnsi"/>
          <w:color w:val="000000"/>
          <w:sz w:val="24"/>
          <w:szCs w:val="24"/>
        </w:rPr>
        <w:t xml:space="preserve">instituições bancárias emissoras de ativos financeiros, </w:t>
      </w:r>
      <w:r w:rsidR="00182AAC" w:rsidRPr="00475A7F">
        <w:rPr>
          <w:rFonts w:cstheme="minorHAnsi"/>
          <w:color w:val="000000"/>
          <w:sz w:val="24"/>
          <w:szCs w:val="24"/>
        </w:rPr>
        <w:t>distribuidor</w:t>
      </w:r>
      <w:r w:rsidR="00182AAC">
        <w:rPr>
          <w:rFonts w:cstheme="minorHAnsi"/>
          <w:color w:val="000000"/>
          <w:sz w:val="24"/>
          <w:szCs w:val="24"/>
        </w:rPr>
        <w:t>es</w:t>
      </w:r>
      <w:r w:rsidR="00182AAC" w:rsidRPr="00475A7F">
        <w:rPr>
          <w:rFonts w:cstheme="minorHAnsi"/>
          <w:color w:val="000000"/>
          <w:sz w:val="24"/>
          <w:szCs w:val="24"/>
        </w:rPr>
        <w:t>, instituiç</w:t>
      </w:r>
      <w:r w:rsidR="00182AAC">
        <w:rPr>
          <w:rFonts w:cstheme="minorHAnsi"/>
          <w:color w:val="000000"/>
          <w:sz w:val="24"/>
          <w:szCs w:val="24"/>
        </w:rPr>
        <w:t>ões</w:t>
      </w:r>
      <w:r w:rsidR="00182AAC" w:rsidRPr="00475A7F">
        <w:rPr>
          <w:rFonts w:cstheme="minorHAnsi"/>
          <w:color w:val="000000"/>
          <w:sz w:val="24"/>
          <w:szCs w:val="24"/>
        </w:rPr>
        <w:t xml:space="preserve"> integrante</w:t>
      </w:r>
      <w:r w:rsidR="00182AAC">
        <w:rPr>
          <w:rFonts w:cstheme="minorHAnsi"/>
          <w:color w:val="000000"/>
          <w:sz w:val="24"/>
          <w:szCs w:val="24"/>
        </w:rPr>
        <w:t>s</w:t>
      </w:r>
      <w:r w:rsidR="00182AAC" w:rsidRPr="00475A7F">
        <w:rPr>
          <w:rFonts w:cstheme="minorHAnsi"/>
          <w:color w:val="000000"/>
          <w:sz w:val="24"/>
          <w:szCs w:val="24"/>
        </w:rPr>
        <w:t xml:space="preserve"> do sistema de distribuição ou agente</w:t>
      </w:r>
      <w:r w:rsidR="00182AAC">
        <w:rPr>
          <w:rFonts w:cstheme="minorHAnsi"/>
          <w:color w:val="000000"/>
          <w:sz w:val="24"/>
          <w:szCs w:val="24"/>
        </w:rPr>
        <w:t>s</w:t>
      </w:r>
      <w:r w:rsidR="00182AAC" w:rsidRPr="00475A7F">
        <w:rPr>
          <w:rFonts w:cstheme="minorHAnsi"/>
          <w:color w:val="000000"/>
          <w:sz w:val="24"/>
          <w:szCs w:val="24"/>
        </w:rPr>
        <w:t xml:space="preserve"> autônomo</w:t>
      </w:r>
      <w:r w:rsidR="00182AAC">
        <w:rPr>
          <w:rFonts w:cstheme="minorHAnsi"/>
          <w:color w:val="000000"/>
          <w:sz w:val="24"/>
          <w:szCs w:val="24"/>
        </w:rPr>
        <w:t>s</w:t>
      </w:r>
      <w:r w:rsidR="00182AAC" w:rsidRPr="00475A7F">
        <w:rPr>
          <w:rFonts w:cstheme="minorHAnsi"/>
          <w:color w:val="000000"/>
          <w:sz w:val="24"/>
          <w:szCs w:val="24"/>
        </w:rPr>
        <w:t xml:space="preserve"> de investimento</w:t>
      </w:r>
      <w:r w:rsidR="00182AAC">
        <w:rPr>
          <w:rFonts w:cstheme="minorHAnsi"/>
          <w:color w:val="000000"/>
          <w:sz w:val="24"/>
          <w:szCs w:val="24"/>
        </w:rPr>
        <w:t>s</w:t>
      </w:r>
      <w:r w:rsidR="00182AAC" w:rsidRPr="006428CF" w:rsidDel="00182AAC">
        <w:rPr>
          <w:rFonts w:cstheme="minorHAnsi"/>
          <w:color w:val="000000"/>
          <w:sz w:val="24"/>
          <w:szCs w:val="24"/>
        </w:rPr>
        <w:t xml:space="preserve"> </w:t>
      </w:r>
      <w:r w:rsidRPr="006428CF">
        <w:rPr>
          <w:rFonts w:cstheme="minorHAnsi"/>
          <w:color w:val="000000"/>
          <w:sz w:val="24"/>
          <w:szCs w:val="24"/>
        </w:rPr>
        <w:t xml:space="preserve">e custodiantes </w:t>
      </w:r>
      <w:r w:rsidR="00182AAC" w:rsidRPr="00475A7F">
        <w:rPr>
          <w:rFonts w:cstheme="minorHAnsi"/>
          <w:color w:val="000000"/>
          <w:sz w:val="24"/>
          <w:szCs w:val="24"/>
        </w:rPr>
        <w:t>e corretoras ou distribuidoras de títulos e valores mobiliários para as operações diretas com títulos públicos</w:t>
      </w:r>
      <w:r w:rsidRPr="006428CF">
        <w:rPr>
          <w:rFonts w:cstheme="minorHAnsi"/>
          <w:color w:val="000000"/>
          <w:sz w:val="24"/>
          <w:szCs w:val="24"/>
        </w:rPr>
        <w:t xml:space="preserve">, previamente à aplicação de recursos do RPPS em </w:t>
      </w:r>
      <w:r w:rsidR="009B5896" w:rsidRPr="006428CF">
        <w:rPr>
          <w:rFonts w:cstheme="minorHAnsi"/>
          <w:color w:val="000000"/>
          <w:sz w:val="24"/>
          <w:szCs w:val="24"/>
        </w:rPr>
        <w:t xml:space="preserve">seus </w:t>
      </w:r>
      <w:r w:rsidRPr="006428CF">
        <w:rPr>
          <w:rFonts w:cstheme="minorHAnsi"/>
          <w:color w:val="000000"/>
          <w:sz w:val="24"/>
          <w:szCs w:val="24"/>
        </w:rPr>
        <w:t>produtos de investimentos.</w:t>
      </w:r>
    </w:p>
    <w:p w14:paraId="706B3AC4" w14:textId="63F147EF" w:rsidR="009B5896" w:rsidRPr="006428CF" w:rsidRDefault="009B5896" w:rsidP="00731466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6428CF">
        <w:rPr>
          <w:rFonts w:cstheme="minorHAnsi"/>
          <w:color w:val="000000"/>
          <w:sz w:val="24"/>
          <w:szCs w:val="24"/>
        </w:rPr>
        <w:t>O credenciamento de instituições atenderá ao disposto na Resolução CMN</w:t>
      </w:r>
      <w:r w:rsidR="00182AAC">
        <w:rPr>
          <w:rFonts w:cstheme="minorHAnsi"/>
          <w:color w:val="000000"/>
          <w:sz w:val="24"/>
          <w:szCs w:val="24"/>
        </w:rPr>
        <w:t xml:space="preserve"> nº</w:t>
      </w:r>
      <w:r w:rsidRPr="006428CF">
        <w:rPr>
          <w:rFonts w:cstheme="minorHAnsi"/>
          <w:color w:val="000000"/>
          <w:sz w:val="24"/>
          <w:szCs w:val="24"/>
        </w:rPr>
        <w:t xml:space="preserve"> 4.963/2021 e Portaria MTP </w:t>
      </w:r>
      <w:r w:rsidR="00182AAC">
        <w:rPr>
          <w:rFonts w:cstheme="minorHAnsi"/>
          <w:color w:val="000000"/>
          <w:sz w:val="24"/>
          <w:szCs w:val="24"/>
        </w:rPr>
        <w:t xml:space="preserve">nº </w:t>
      </w:r>
      <w:r w:rsidRPr="006428CF">
        <w:rPr>
          <w:rFonts w:cstheme="minorHAnsi"/>
          <w:color w:val="000000"/>
          <w:sz w:val="24"/>
          <w:szCs w:val="24"/>
        </w:rPr>
        <w:t>1.467/2022 e será orientado pelo Manual de Credenciamento do RPPS e pelo presente documento.</w:t>
      </w:r>
    </w:p>
    <w:p w14:paraId="4CA51A47" w14:textId="756A0713" w:rsidR="009B5896" w:rsidRPr="006428CF" w:rsidRDefault="00964190" w:rsidP="009B5896">
      <w:pPr>
        <w:pStyle w:val="PargrafodaLista"/>
        <w:numPr>
          <w:ilvl w:val="1"/>
          <w:numId w:val="5"/>
        </w:numPr>
        <w:jc w:val="both"/>
        <w:rPr>
          <w:rFonts w:cstheme="minorHAnsi"/>
          <w:b/>
          <w:bCs/>
          <w:sz w:val="24"/>
          <w:szCs w:val="24"/>
        </w:rPr>
      </w:pPr>
      <w:r w:rsidRPr="006428CF">
        <w:rPr>
          <w:rFonts w:cstheme="minorHAnsi"/>
          <w:b/>
          <w:bCs/>
          <w:sz w:val="24"/>
          <w:szCs w:val="24"/>
        </w:rPr>
        <w:t>RESPONSABILIDADES</w:t>
      </w:r>
    </w:p>
    <w:p w14:paraId="1CA460FF" w14:textId="45B002C7" w:rsidR="003A1123" w:rsidRPr="006428CF" w:rsidRDefault="009B5896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6428CF">
        <w:rPr>
          <w:rFonts w:cstheme="minorHAnsi"/>
          <w:color w:val="000000"/>
          <w:sz w:val="24"/>
          <w:szCs w:val="24"/>
        </w:rPr>
        <w:t xml:space="preserve">Compete ao Gestor de Recursos do RPPS o acompanhamento e realização de todas as etapas do processo de credenciamento das </w:t>
      </w:r>
      <w:r w:rsidR="00964190">
        <w:rPr>
          <w:rFonts w:cstheme="minorHAnsi"/>
          <w:color w:val="000000"/>
          <w:sz w:val="24"/>
          <w:szCs w:val="24"/>
        </w:rPr>
        <w:t>i</w:t>
      </w:r>
      <w:r w:rsidRPr="006428CF">
        <w:rPr>
          <w:rFonts w:cstheme="minorHAnsi"/>
          <w:color w:val="000000"/>
          <w:sz w:val="24"/>
          <w:szCs w:val="24"/>
        </w:rPr>
        <w:t>nstituições, exceto pela deliberação, que está atribuída ao Comitê de Investimentos</w:t>
      </w:r>
      <w:r w:rsidR="00AF5DE7" w:rsidRPr="006428CF">
        <w:rPr>
          <w:rFonts w:cstheme="minorHAnsi"/>
          <w:color w:val="000000"/>
          <w:sz w:val="24"/>
          <w:szCs w:val="24"/>
        </w:rPr>
        <w:t>. A consultoria de investimentos contratada atuará no suporte técnico da análise da documentação das instituições submetidas ao processo.</w:t>
      </w:r>
    </w:p>
    <w:p w14:paraId="618965CC" w14:textId="20B97C80" w:rsidR="00AF5DE7" w:rsidRPr="006428CF" w:rsidRDefault="00964190" w:rsidP="00AF5DE7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428CF">
        <w:rPr>
          <w:rFonts w:cstheme="minorHAnsi"/>
          <w:b/>
          <w:bCs/>
          <w:color w:val="000000"/>
          <w:sz w:val="24"/>
          <w:szCs w:val="24"/>
        </w:rPr>
        <w:t>MANUAL DE CREDENCIAMENTO</w:t>
      </w:r>
    </w:p>
    <w:p w14:paraId="5442AF19" w14:textId="0C675F3E" w:rsidR="00AF5DE7" w:rsidRPr="006428CF" w:rsidRDefault="00AF5DE7" w:rsidP="00AF5DE7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6428CF">
        <w:rPr>
          <w:rFonts w:cstheme="minorHAnsi"/>
          <w:color w:val="000000"/>
          <w:sz w:val="24"/>
          <w:szCs w:val="24"/>
        </w:rPr>
        <w:t>O RPPS conta com um Manual de Credenciamento para orientação geral do processo, apontando os parâmetros mínimos necessários para o início do procedimento e apresentando as diretrizes do credenciamento para as instituições que queiram se submeter ao processo.</w:t>
      </w:r>
    </w:p>
    <w:p w14:paraId="049A6F51" w14:textId="5807D9BB" w:rsidR="00B82782" w:rsidRPr="006428CF" w:rsidRDefault="00964190" w:rsidP="00F433B1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428CF">
        <w:rPr>
          <w:rFonts w:cstheme="minorHAnsi"/>
          <w:b/>
          <w:bCs/>
          <w:color w:val="000000"/>
          <w:sz w:val="24"/>
          <w:szCs w:val="24"/>
        </w:rPr>
        <w:t>VEDAÇÕES</w:t>
      </w:r>
    </w:p>
    <w:p w14:paraId="4EF64CF4" w14:textId="74BD83EB" w:rsidR="00B82782" w:rsidRDefault="00AF5DE7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sz w:val="24"/>
          <w:szCs w:val="24"/>
        </w:rPr>
      </w:pPr>
      <w:r w:rsidRPr="006428CF">
        <w:rPr>
          <w:rFonts w:cstheme="minorHAnsi"/>
          <w:sz w:val="24"/>
          <w:szCs w:val="24"/>
        </w:rPr>
        <w:t>É vedada a realização de qualquer operação em que a instituição escolhida para receber as aplicações do RPPS não tenha sido objeto de prévio credenciamento.</w:t>
      </w:r>
    </w:p>
    <w:p w14:paraId="2288C719" w14:textId="744AE173" w:rsidR="00047BA6" w:rsidRDefault="00047BA6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sz w:val="24"/>
          <w:szCs w:val="24"/>
        </w:rPr>
      </w:pPr>
    </w:p>
    <w:p w14:paraId="687456BF" w14:textId="5230D1AD" w:rsidR="00047BA6" w:rsidRDefault="00047BA6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sz w:val="24"/>
          <w:szCs w:val="24"/>
        </w:rPr>
      </w:pPr>
    </w:p>
    <w:p w14:paraId="35E8B017" w14:textId="77777777" w:rsidR="00047BA6" w:rsidRDefault="00047BA6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sz w:val="24"/>
          <w:szCs w:val="24"/>
        </w:rPr>
      </w:pPr>
    </w:p>
    <w:p w14:paraId="73872724" w14:textId="12437ACB" w:rsidR="003A1123" w:rsidRPr="006428CF" w:rsidRDefault="003A1123" w:rsidP="00AF5D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428CF">
        <w:rPr>
          <w:rFonts w:cstheme="minorHAnsi"/>
          <w:b/>
          <w:bCs/>
          <w:color w:val="000000"/>
          <w:sz w:val="24"/>
          <w:szCs w:val="24"/>
        </w:rPr>
        <w:lastRenderedPageBreak/>
        <w:t>PROCESSO DE CREDENCIAMENTO</w:t>
      </w:r>
    </w:p>
    <w:p w14:paraId="53D5E2AA" w14:textId="1BFC597D" w:rsidR="0033307B" w:rsidRDefault="0033307B" w:rsidP="0033307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6AE090F5" wp14:editId="6F4B1CFC">
            <wp:simplePos x="0" y="0"/>
            <wp:positionH relativeFrom="margin">
              <wp:align>right</wp:align>
            </wp:positionH>
            <wp:positionV relativeFrom="paragraph">
              <wp:posOffset>265489</wp:posOffset>
            </wp:positionV>
            <wp:extent cx="5390515" cy="257302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1123" w:rsidRPr="00964190">
        <w:rPr>
          <w:rFonts w:cstheme="minorHAnsi"/>
          <w:b/>
          <w:bCs/>
          <w:color w:val="000000"/>
          <w:sz w:val="24"/>
          <w:szCs w:val="24"/>
        </w:rPr>
        <w:t>FLUXO DO PROCESSO DE CREDENCIAMENTO</w:t>
      </w:r>
    </w:p>
    <w:p w14:paraId="17AF7D06" w14:textId="28FF2B56" w:rsidR="00F433B1" w:rsidRPr="00027005" w:rsidRDefault="00964190" w:rsidP="00AF5DE7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27005">
        <w:rPr>
          <w:rFonts w:cstheme="minorHAnsi"/>
          <w:b/>
          <w:bCs/>
          <w:color w:val="000000"/>
          <w:sz w:val="24"/>
          <w:szCs w:val="24"/>
        </w:rPr>
        <w:t>PROCESSO DETALHADO DE CREDENCIAMENTO</w:t>
      </w:r>
    </w:p>
    <w:p w14:paraId="196853F9" w14:textId="602E5616" w:rsidR="003B2C48" w:rsidRPr="00027005" w:rsidRDefault="00964190" w:rsidP="00AF5DE7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27005">
        <w:rPr>
          <w:rFonts w:cstheme="minorHAnsi"/>
          <w:b/>
          <w:bCs/>
          <w:color w:val="000000"/>
          <w:sz w:val="24"/>
          <w:szCs w:val="24"/>
        </w:rPr>
        <w:t>ABERTURA DE PROCESSO DE CREDENCIAMENTO</w:t>
      </w:r>
    </w:p>
    <w:p w14:paraId="1D9492C0" w14:textId="6375DF28" w:rsidR="00F433B1" w:rsidRPr="00027005" w:rsidRDefault="00F433B1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t>Qualquer pessoa, relacionada ou não ao RPPS, poderá solicitar a abertura do processo de credenciamento de instituições</w:t>
      </w:r>
      <w:r w:rsidR="00843162" w:rsidRPr="00027005">
        <w:rPr>
          <w:rFonts w:cstheme="minorHAnsi"/>
          <w:color w:val="000000"/>
          <w:sz w:val="24"/>
          <w:szCs w:val="24"/>
        </w:rPr>
        <w:t>, o qual</w:t>
      </w:r>
      <w:r w:rsidRPr="00027005">
        <w:rPr>
          <w:rFonts w:cstheme="minorHAnsi"/>
          <w:color w:val="000000"/>
          <w:sz w:val="24"/>
          <w:szCs w:val="24"/>
        </w:rPr>
        <w:t xml:space="preserve"> será analisad</w:t>
      </w:r>
      <w:r w:rsidR="00843162" w:rsidRPr="00027005">
        <w:rPr>
          <w:rFonts w:cstheme="minorHAnsi"/>
          <w:color w:val="000000"/>
          <w:sz w:val="24"/>
          <w:szCs w:val="24"/>
        </w:rPr>
        <w:t>o</w:t>
      </w:r>
      <w:r w:rsidRPr="00027005">
        <w:rPr>
          <w:rFonts w:cstheme="minorHAnsi"/>
          <w:color w:val="000000"/>
          <w:sz w:val="24"/>
          <w:szCs w:val="24"/>
        </w:rPr>
        <w:t xml:space="preserve"> pela Diretoria Executiva em conjunto com o Gestor de Recursos.</w:t>
      </w:r>
    </w:p>
    <w:p w14:paraId="22EE5495" w14:textId="7B76DB67" w:rsidR="00F433B1" w:rsidRPr="00027005" w:rsidRDefault="00F433B1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t xml:space="preserve">Serão inicialmente analisados os produtos oferecidos e o histórico dos prestadores de serviço para verificação de atendimento ou não dos requisitos previstos no </w:t>
      </w:r>
      <w:r w:rsidRPr="00027005">
        <w:rPr>
          <w:rFonts w:cstheme="minorHAnsi"/>
          <w:b/>
          <w:bCs/>
          <w:color w:val="000000"/>
          <w:sz w:val="24"/>
          <w:szCs w:val="24"/>
        </w:rPr>
        <w:t>Manual de Credenciamento</w:t>
      </w:r>
      <w:r w:rsidRPr="00027005">
        <w:rPr>
          <w:rFonts w:cstheme="minorHAnsi"/>
          <w:color w:val="000000"/>
          <w:sz w:val="24"/>
          <w:szCs w:val="24"/>
        </w:rPr>
        <w:t>.</w:t>
      </w:r>
    </w:p>
    <w:p w14:paraId="5A238FCF" w14:textId="6CA96DA5" w:rsidR="003B2C48" w:rsidRPr="00027005" w:rsidRDefault="00F433B1" w:rsidP="003B2C48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t>Caso haja a constatação de não atendimento, não ocorrerá o credenciamento</w:t>
      </w:r>
      <w:r w:rsidR="00843162" w:rsidRPr="00027005">
        <w:rPr>
          <w:rFonts w:cstheme="minorHAnsi"/>
          <w:color w:val="000000"/>
          <w:sz w:val="24"/>
          <w:szCs w:val="24"/>
        </w:rPr>
        <w:t xml:space="preserve"> e será enviada uma resposta negativa ao agente que solicitou a abertura do processo</w:t>
      </w:r>
      <w:r w:rsidRPr="00027005">
        <w:rPr>
          <w:rFonts w:cstheme="minorHAnsi"/>
          <w:color w:val="000000"/>
          <w:sz w:val="24"/>
          <w:szCs w:val="24"/>
        </w:rPr>
        <w:t xml:space="preserve">. Caso positivo, </w:t>
      </w:r>
      <w:r w:rsidR="003B2C48" w:rsidRPr="00027005">
        <w:rPr>
          <w:rFonts w:cstheme="minorHAnsi"/>
          <w:color w:val="000000"/>
          <w:sz w:val="24"/>
          <w:szCs w:val="24"/>
        </w:rPr>
        <w:t xml:space="preserve">será </w:t>
      </w:r>
      <w:r w:rsidR="00843162" w:rsidRPr="00027005">
        <w:rPr>
          <w:rFonts w:cstheme="minorHAnsi"/>
          <w:color w:val="000000"/>
          <w:sz w:val="24"/>
          <w:szCs w:val="24"/>
        </w:rPr>
        <w:t>requerido</w:t>
      </w:r>
      <w:r w:rsidR="003B2C48" w:rsidRPr="00027005">
        <w:rPr>
          <w:rFonts w:cstheme="minorHAnsi"/>
          <w:color w:val="000000"/>
          <w:sz w:val="24"/>
          <w:szCs w:val="24"/>
        </w:rPr>
        <w:t xml:space="preserve"> à instituição interessada que</w:t>
      </w:r>
      <w:r w:rsidRPr="00027005">
        <w:rPr>
          <w:rFonts w:cstheme="minorHAnsi"/>
          <w:color w:val="000000"/>
          <w:sz w:val="24"/>
          <w:szCs w:val="24"/>
        </w:rPr>
        <w:t xml:space="preserve"> </w:t>
      </w:r>
      <w:r w:rsidR="003B2C48" w:rsidRPr="00027005">
        <w:rPr>
          <w:rFonts w:cstheme="minorHAnsi"/>
          <w:color w:val="000000"/>
          <w:sz w:val="24"/>
          <w:szCs w:val="24"/>
        </w:rPr>
        <w:t xml:space="preserve">leia o Manual no site do RPPS e envie a documentação presente no </w:t>
      </w:r>
      <w:r w:rsidR="003B2C48" w:rsidRPr="00027005">
        <w:rPr>
          <w:rFonts w:cstheme="minorHAnsi"/>
          <w:i/>
          <w:iCs/>
          <w:color w:val="000000"/>
          <w:sz w:val="24"/>
          <w:szCs w:val="24"/>
        </w:rPr>
        <w:t>checklist</w:t>
      </w:r>
      <w:r w:rsidR="003B2C48" w:rsidRPr="00027005">
        <w:rPr>
          <w:rFonts w:cstheme="minorHAnsi"/>
          <w:color w:val="000000"/>
          <w:sz w:val="24"/>
          <w:szCs w:val="24"/>
        </w:rPr>
        <w:t xml:space="preserve"> </w:t>
      </w:r>
      <w:r w:rsidR="0087250F" w:rsidRPr="00027005">
        <w:rPr>
          <w:rFonts w:cstheme="minorHAnsi"/>
          <w:color w:val="000000"/>
          <w:sz w:val="24"/>
          <w:szCs w:val="24"/>
        </w:rPr>
        <w:t xml:space="preserve">exposto do </w:t>
      </w:r>
      <w:r w:rsidR="0087250F" w:rsidRPr="00964190">
        <w:rPr>
          <w:rFonts w:cstheme="minorHAnsi"/>
          <w:b/>
          <w:bCs/>
          <w:color w:val="000000"/>
          <w:sz w:val="24"/>
          <w:szCs w:val="24"/>
        </w:rPr>
        <w:t>Anexo I</w:t>
      </w:r>
      <w:r w:rsidR="0087250F" w:rsidRPr="00027005">
        <w:rPr>
          <w:rFonts w:cstheme="minorHAnsi"/>
          <w:color w:val="000000"/>
          <w:sz w:val="24"/>
          <w:szCs w:val="24"/>
        </w:rPr>
        <w:t xml:space="preserve"> do </w:t>
      </w:r>
      <w:r w:rsidR="0087250F" w:rsidRPr="00027005">
        <w:rPr>
          <w:rFonts w:cstheme="minorHAnsi"/>
          <w:b/>
          <w:bCs/>
          <w:color w:val="000000"/>
          <w:sz w:val="24"/>
          <w:szCs w:val="24"/>
        </w:rPr>
        <w:t>Manual</w:t>
      </w:r>
      <w:r w:rsidR="003B2C48" w:rsidRPr="00027005">
        <w:rPr>
          <w:rFonts w:cstheme="minorHAnsi"/>
          <w:color w:val="000000"/>
          <w:sz w:val="24"/>
          <w:szCs w:val="24"/>
        </w:rPr>
        <w:t>.</w:t>
      </w:r>
    </w:p>
    <w:p w14:paraId="46CB5E78" w14:textId="40198132" w:rsidR="003B2C48" w:rsidRPr="00027005" w:rsidRDefault="00964190" w:rsidP="00AF5DE7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27005">
        <w:rPr>
          <w:rFonts w:cstheme="minorHAnsi"/>
          <w:b/>
          <w:bCs/>
          <w:color w:val="000000"/>
          <w:sz w:val="24"/>
          <w:szCs w:val="24"/>
        </w:rPr>
        <w:t>RECEPÇÃO DE DOCUMENTAÇÃO</w:t>
      </w:r>
    </w:p>
    <w:p w14:paraId="4D1985C5" w14:textId="5E7B3759" w:rsidR="003B2C48" w:rsidRPr="00027005" w:rsidRDefault="0087250F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t>Após o recebimento da documentação de credenciamento via</w:t>
      </w:r>
      <w:r w:rsidR="003B2C48" w:rsidRPr="00027005">
        <w:rPr>
          <w:rFonts w:cstheme="minorHAnsi"/>
          <w:color w:val="000000"/>
          <w:sz w:val="24"/>
          <w:szCs w:val="24"/>
        </w:rPr>
        <w:t xml:space="preserve"> e-mail</w:t>
      </w:r>
      <w:r w:rsidRPr="00027005">
        <w:rPr>
          <w:rFonts w:cstheme="minorHAnsi"/>
          <w:color w:val="000000"/>
          <w:sz w:val="24"/>
          <w:szCs w:val="24"/>
        </w:rPr>
        <w:t xml:space="preserve">, </w:t>
      </w:r>
      <w:r w:rsidR="003B2C48" w:rsidRPr="00027005">
        <w:rPr>
          <w:rFonts w:cstheme="minorHAnsi"/>
          <w:color w:val="000000"/>
          <w:sz w:val="24"/>
          <w:szCs w:val="24"/>
        </w:rPr>
        <w:t xml:space="preserve">deverá </w:t>
      </w:r>
      <w:r w:rsidRPr="00027005">
        <w:rPr>
          <w:rFonts w:cstheme="minorHAnsi"/>
          <w:color w:val="000000"/>
          <w:sz w:val="24"/>
          <w:szCs w:val="24"/>
        </w:rPr>
        <w:t xml:space="preserve">ser </w:t>
      </w:r>
      <w:r w:rsidR="003B2C48" w:rsidRPr="00027005">
        <w:rPr>
          <w:rFonts w:cstheme="minorHAnsi"/>
          <w:color w:val="000000"/>
          <w:sz w:val="24"/>
          <w:szCs w:val="24"/>
        </w:rPr>
        <w:t>cria</w:t>
      </w:r>
      <w:r w:rsidRPr="00027005">
        <w:rPr>
          <w:rFonts w:cstheme="minorHAnsi"/>
          <w:color w:val="000000"/>
          <w:sz w:val="24"/>
          <w:szCs w:val="24"/>
        </w:rPr>
        <w:t>da</w:t>
      </w:r>
      <w:r w:rsidR="0033307B">
        <w:rPr>
          <w:rFonts w:cstheme="minorHAnsi"/>
          <w:color w:val="000000"/>
          <w:sz w:val="24"/>
          <w:szCs w:val="24"/>
        </w:rPr>
        <w:t xml:space="preserve"> </w:t>
      </w:r>
      <w:r w:rsidRPr="00027005">
        <w:rPr>
          <w:rFonts w:cstheme="minorHAnsi"/>
          <w:color w:val="000000"/>
          <w:sz w:val="24"/>
          <w:szCs w:val="24"/>
        </w:rPr>
        <w:t>uma</w:t>
      </w:r>
      <w:r w:rsidR="003B2C48" w:rsidRPr="00027005">
        <w:rPr>
          <w:rFonts w:cstheme="minorHAnsi"/>
          <w:color w:val="000000"/>
          <w:sz w:val="24"/>
          <w:szCs w:val="24"/>
        </w:rPr>
        <w:t xml:space="preserve"> pasta</w:t>
      </w:r>
      <w:r w:rsidR="00814647" w:rsidRPr="00027005">
        <w:rPr>
          <w:rFonts w:cstheme="minorHAnsi"/>
          <w:color w:val="000000"/>
          <w:sz w:val="24"/>
          <w:szCs w:val="24"/>
        </w:rPr>
        <w:t xml:space="preserve"> no computador</w:t>
      </w:r>
      <w:r w:rsidR="003B2C48" w:rsidRPr="00027005">
        <w:rPr>
          <w:rFonts w:cstheme="minorHAnsi"/>
          <w:color w:val="000000"/>
          <w:sz w:val="24"/>
          <w:szCs w:val="24"/>
        </w:rPr>
        <w:t xml:space="preserve"> cujo caminho será:</w:t>
      </w:r>
    </w:p>
    <w:p w14:paraId="056303A7" w14:textId="77777777" w:rsidR="00964190" w:rsidRDefault="003B2C48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964190">
        <w:rPr>
          <w:rFonts w:cstheme="minorHAnsi"/>
          <w:b/>
          <w:bCs/>
          <w:color w:val="000000"/>
          <w:sz w:val="24"/>
          <w:szCs w:val="24"/>
        </w:rPr>
        <w:t xml:space="preserve">Credenciamentos &gt;&gt; Ano &gt;&gt; Nome da Instituição – data de validade (ex. Credenciamentos &gt;&gt; 2023 &gt;&gt; BB </w:t>
      </w:r>
      <w:proofErr w:type="spellStart"/>
      <w:r w:rsidR="001F4851" w:rsidRPr="00964190">
        <w:rPr>
          <w:rFonts w:cstheme="minorHAnsi"/>
          <w:b/>
          <w:bCs/>
          <w:color w:val="000000"/>
          <w:sz w:val="24"/>
          <w:szCs w:val="24"/>
        </w:rPr>
        <w:t>Asset</w:t>
      </w:r>
      <w:proofErr w:type="spellEnd"/>
      <w:r w:rsidR="001F4851" w:rsidRPr="00964190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964190">
        <w:rPr>
          <w:rFonts w:cstheme="minorHAnsi"/>
          <w:b/>
          <w:bCs/>
          <w:color w:val="000000"/>
          <w:sz w:val="24"/>
          <w:szCs w:val="24"/>
        </w:rPr>
        <w:t>– 31/12/2025)</w:t>
      </w:r>
      <w:r w:rsidRPr="00027005">
        <w:rPr>
          <w:rFonts w:cstheme="minorHAnsi"/>
          <w:color w:val="000000"/>
          <w:sz w:val="24"/>
          <w:szCs w:val="24"/>
        </w:rPr>
        <w:t>.</w:t>
      </w:r>
    </w:p>
    <w:p w14:paraId="417DA8AD" w14:textId="1BE2F004" w:rsidR="0087250F" w:rsidRPr="00027005" w:rsidRDefault="00096813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t xml:space="preserve">Esta data </w:t>
      </w:r>
      <w:r w:rsidR="000E37D5" w:rsidRPr="00027005">
        <w:rPr>
          <w:rFonts w:cstheme="minorHAnsi"/>
          <w:color w:val="000000"/>
          <w:sz w:val="24"/>
          <w:szCs w:val="24"/>
        </w:rPr>
        <w:t xml:space="preserve">será </w:t>
      </w:r>
      <w:r w:rsidR="000E37D5">
        <w:rPr>
          <w:rFonts w:cstheme="minorHAnsi"/>
          <w:color w:val="000000"/>
          <w:sz w:val="24"/>
          <w:szCs w:val="24"/>
        </w:rPr>
        <w:t>de</w:t>
      </w:r>
      <w:r w:rsidR="00E51015">
        <w:rPr>
          <w:rFonts w:cstheme="minorHAnsi"/>
          <w:color w:val="000000"/>
          <w:sz w:val="24"/>
          <w:szCs w:val="24"/>
        </w:rPr>
        <w:t xml:space="preserve"> 24 meses (prazo de validade do credenciamento) contados a partir da conclusão do processo de credenciamento</w:t>
      </w:r>
      <w:r w:rsidRPr="00027005">
        <w:rPr>
          <w:rFonts w:cstheme="minorHAnsi"/>
          <w:color w:val="000000"/>
          <w:sz w:val="24"/>
          <w:szCs w:val="24"/>
        </w:rPr>
        <w:t>.</w:t>
      </w:r>
    </w:p>
    <w:p w14:paraId="538368CB" w14:textId="0CBCD79B" w:rsidR="00BA05A2" w:rsidRPr="00027005" w:rsidRDefault="00BA05A2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lastRenderedPageBreak/>
        <w:t>Toda a documentação recebida deverá ser arquivada, mesmo que sejam enviados documentos além dos solicitados.</w:t>
      </w:r>
    </w:p>
    <w:p w14:paraId="15C865A6" w14:textId="77777777" w:rsidR="00DE7544" w:rsidRPr="00027005" w:rsidRDefault="00DE7544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t>Após o arquivamento, deverá ser iniciada a fase se análise da documentação.</w:t>
      </w:r>
    </w:p>
    <w:p w14:paraId="32E2E827" w14:textId="68FBDDCD" w:rsidR="00DE7544" w:rsidRPr="00027005" w:rsidRDefault="00DE7544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t xml:space="preserve">Inicialmente, deverá ser verificado se </w:t>
      </w:r>
      <w:r w:rsidR="00F433B1" w:rsidRPr="00027005">
        <w:rPr>
          <w:rFonts w:cstheme="minorHAnsi"/>
          <w:color w:val="000000"/>
          <w:sz w:val="24"/>
          <w:szCs w:val="24"/>
        </w:rPr>
        <w:t xml:space="preserve">os documentos </w:t>
      </w:r>
      <w:r w:rsidRPr="00027005">
        <w:rPr>
          <w:rFonts w:cstheme="minorHAnsi"/>
          <w:color w:val="000000"/>
          <w:sz w:val="24"/>
          <w:szCs w:val="24"/>
        </w:rPr>
        <w:t>recebidos estão</w:t>
      </w:r>
      <w:r w:rsidR="00F433B1" w:rsidRPr="00027005">
        <w:rPr>
          <w:rFonts w:cstheme="minorHAnsi"/>
          <w:color w:val="000000"/>
          <w:sz w:val="24"/>
          <w:szCs w:val="24"/>
        </w:rPr>
        <w:t xml:space="preserve"> </w:t>
      </w:r>
      <w:r w:rsidRPr="00027005">
        <w:rPr>
          <w:rFonts w:cstheme="minorHAnsi"/>
          <w:color w:val="000000"/>
          <w:sz w:val="24"/>
          <w:szCs w:val="24"/>
        </w:rPr>
        <w:t xml:space="preserve">de acordo </w:t>
      </w:r>
      <w:r w:rsidR="00F433B1" w:rsidRPr="00027005">
        <w:rPr>
          <w:rFonts w:cstheme="minorHAnsi"/>
          <w:color w:val="000000"/>
          <w:sz w:val="24"/>
          <w:szCs w:val="24"/>
        </w:rPr>
        <w:t xml:space="preserve">com o </w:t>
      </w:r>
      <w:r w:rsidR="00964190">
        <w:rPr>
          <w:rFonts w:cstheme="minorHAnsi"/>
          <w:i/>
          <w:iCs/>
          <w:color w:val="000000"/>
          <w:sz w:val="24"/>
          <w:szCs w:val="24"/>
        </w:rPr>
        <w:t>c</w:t>
      </w:r>
      <w:r w:rsidR="00F433B1" w:rsidRPr="00027005">
        <w:rPr>
          <w:rFonts w:cstheme="minorHAnsi"/>
          <w:i/>
          <w:iCs/>
          <w:color w:val="000000"/>
          <w:sz w:val="24"/>
          <w:szCs w:val="24"/>
        </w:rPr>
        <w:t>hecklist</w:t>
      </w:r>
      <w:r w:rsidRPr="00027005">
        <w:rPr>
          <w:rFonts w:cstheme="minorHAnsi"/>
          <w:color w:val="000000"/>
          <w:sz w:val="24"/>
          <w:szCs w:val="24"/>
        </w:rPr>
        <w:t xml:space="preserve">. </w:t>
      </w:r>
      <w:r w:rsidR="0087250F" w:rsidRPr="00027005">
        <w:rPr>
          <w:rFonts w:cstheme="minorHAnsi"/>
          <w:color w:val="000000"/>
          <w:sz w:val="24"/>
          <w:szCs w:val="24"/>
        </w:rPr>
        <w:t xml:space="preserve"> </w:t>
      </w:r>
      <w:r w:rsidRPr="00027005">
        <w:rPr>
          <w:rFonts w:cstheme="minorHAnsi"/>
          <w:color w:val="000000"/>
          <w:sz w:val="24"/>
          <w:szCs w:val="24"/>
        </w:rPr>
        <w:t xml:space="preserve">Em caso negativo, deverá ser </w:t>
      </w:r>
      <w:r w:rsidR="00F87D89" w:rsidRPr="00027005">
        <w:rPr>
          <w:rFonts w:cstheme="minorHAnsi"/>
          <w:color w:val="000000"/>
          <w:sz w:val="24"/>
          <w:szCs w:val="24"/>
        </w:rPr>
        <w:t>respondido o e-mail da instituição</w:t>
      </w:r>
      <w:r w:rsidR="00964190">
        <w:rPr>
          <w:rFonts w:cstheme="minorHAnsi"/>
          <w:color w:val="000000"/>
          <w:sz w:val="24"/>
          <w:szCs w:val="24"/>
        </w:rPr>
        <w:t>,</w:t>
      </w:r>
      <w:r w:rsidR="00F87D89" w:rsidRPr="00027005">
        <w:rPr>
          <w:rFonts w:cstheme="minorHAnsi"/>
          <w:color w:val="000000"/>
          <w:sz w:val="24"/>
          <w:szCs w:val="24"/>
        </w:rPr>
        <w:t xml:space="preserve"> solicitando a documentação pendente.</w:t>
      </w:r>
    </w:p>
    <w:p w14:paraId="1B2B159A" w14:textId="39355476" w:rsidR="00465310" w:rsidRPr="00027005" w:rsidRDefault="00964190" w:rsidP="00AF5DE7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27005">
        <w:rPr>
          <w:rFonts w:cstheme="minorHAnsi"/>
          <w:b/>
          <w:bCs/>
          <w:color w:val="000000"/>
          <w:sz w:val="24"/>
          <w:szCs w:val="24"/>
        </w:rPr>
        <w:t>ANÁLISE DA DOCUMENTAÇÃO</w:t>
      </w:r>
    </w:p>
    <w:p w14:paraId="0E8F4F8C" w14:textId="7E4BD860" w:rsidR="0087250F" w:rsidRPr="00027005" w:rsidRDefault="00465310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t>Com a documentação completa, deverá ser iniciada a fase de análise da documentação</w:t>
      </w:r>
      <w:r w:rsidR="0087250F" w:rsidRPr="00027005">
        <w:rPr>
          <w:rFonts w:cstheme="minorHAnsi"/>
          <w:color w:val="000000"/>
          <w:sz w:val="24"/>
          <w:szCs w:val="24"/>
        </w:rPr>
        <w:t xml:space="preserve">, </w:t>
      </w:r>
      <w:r w:rsidR="00731466" w:rsidRPr="00027005">
        <w:rPr>
          <w:rFonts w:cstheme="minorHAnsi"/>
          <w:color w:val="000000"/>
          <w:sz w:val="24"/>
          <w:szCs w:val="24"/>
        </w:rPr>
        <w:t>com a observação da autorização de funcionamento</w:t>
      </w:r>
      <w:r w:rsidR="00056C6E" w:rsidRPr="00027005">
        <w:rPr>
          <w:rFonts w:cstheme="minorHAnsi"/>
          <w:color w:val="000000"/>
          <w:sz w:val="24"/>
          <w:szCs w:val="24"/>
        </w:rPr>
        <w:t xml:space="preserve">, assim como a </w:t>
      </w:r>
      <w:r w:rsidR="00056C6E" w:rsidRPr="0002700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comprovação de inexistência de suspensão ou inabilitação, </w:t>
      </w:r>
      <w:r w:rsidR="00056C6E" w:rsidRPr="00027005">
        <w:rPr>
          <w:rFonts w:cstheme="minorHAnsi"/>
          <w:color w:val="000000"/>
          <w:sz w:val="24"/>
          <w:szCs w:val="24"/>
        </w:rPr>
        <w:t xml:space="preserve">emitidas pela CVM ou Banco Central do Brasil; além da avaliação das informações contidas no Questionário </w:t>
      </w:r>
      <w:proofErr w:type="spellStart"/>
      <w:r w:rsidR="00056C6E" w:rsidRPr="00964190">
        <w:rPr>
          <w:rFonts w:cstheme="minorHAnsi"/>
          <w:i/>
          <w:iCs/>
          <w:color w:val="000000"/>
          <w:sz w:val="24"/>
          <w:szCs w:val="24"/>
        </w:rPr>
        <w:t>Due</w:t>
      </w:r>
      <w:proofErr w:type="spellEnd"/>
      <w:r w:rsidR="00056C6E" w:rsidRPr="00964190">
        <w:rPr>
          <w:rFonts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="00056C6E" w:rsidRPr="00964190">
        <w:rPr>
          <w:rFonts w:cstheme="minorHAnsi"/>
          <w:i/>
          <w:iCs/>
          <w:color w:val="000000"/>
          <w:sz w:val="24"/>
          <w:szCs w:val="24"/>
        </w:rPr>
        <w:t>Diligence</w:t>
      </w:r>
      <w:proofErr w:type="spellEnd"/>
      <w:r w:rsidR="00056C6E" w:rsidRPr="00964190">
        <w:rPr>
          <w:rFonts w:cstheme="minorHAnsi"/>
          <w:i/>
          <w:iCs/>
          <w:color w:val="000000"/>
          <w:sz w:val="24"/>
          <w:szCs w:val="24"/>
        </w:rPr>
        <w:t xml:space="preserve"> – QDD</w:t>
      </w:r>
      <w:r w:rsidR="00056C6E" w:rsidRPr="00027005">
        <w:rPr>
          <w:rFonts w:cstheme="minorHAnsi"/>
          <w:color w:val="000000"/>
          <w:sz w:val="24"/>
          <w:szCs w:val="24"/>
        </w:rPr>
        <w:t xml:space="preserve">, da ANBIMA e Termo de Credenciamento, se houver; assim como o relatório de </w:t>
      </w:r>
      <w:r w:rsidR="00056C6E" w:rsidRPr="00964190">
        <w:rPr>
          <w:rFonts w:cstheme="minorHAnsi"/>
          <w:i/>
          <w:iCs/>
          <w:color w:val="000000"/>
          <w:sz w:val="24"/>
          <w:szCs w:val="24"/>
        </w:rPr>
        <w:t>Rating</w:t>
      </w:r>
      <w:r w:rsidR="00056C6E" w:rsidRPr="00027005">
        <w:rPr>
          <w:rFonts w:cstheme="minorHAnsi"/>
          <w:color w:val="000000"/>
          <w:sz w:val="24"/>
          <w:szCs w:val="24"/>
        </w:rPr>
        <w:t xml:space="preserve"> d</w:t>
      </w:r>
      <w:r w:rsidR="00E51015">
        <w:rPr>
          <w:rFonts w:cstheme="minorHAnsi"/>
          <w:color w:val="000000"/>
          <w:sz w:val="24"/>
          <w:szCs w:val="24"/>
        </w:rPr>
        <w:t>e</w:t>
      </w:r>
      <w:r w:rsidR="00056C6E" w:rsidRPr="00027005">
        <w:rPr>
          <w:rFonts w:cstheme="minorHAnsi"/>
          <w:color w:val="000000"/>
          <w:sz w:val="24"/>
          <w:szCs w:val="24"/>
        </w:rPr>
        <w:t xml:space="preserve"> gestão, emitid</w:t>
      </w:r>
      <w:r w:rsidR="00964190">
        <w:rPr>
          <w:rFonts w:cstheme="minorHAnsi"/>
          <w:color w:val="000000"/>
          <w:sz w:val="24"/>
          <w:szCs w:val="24"/>
        </w:rPr>
        <w:t>o</w:t>
      </w:r>
      <w:r w:rsidR="00056C6E" w:rsidRPr="00027005">
        <w:rPr>
          <w:rFonts w:cstheme="minorHAnsi"/>
          <w:color w:val="000000"/>
          <w:sz w:val="24"/>
          <w:szCs w:val="24"/>
        </w:rPr>
        <w:t xml:space="preserve"> por agência classificadora de risco. </w:t>
      </w:r>
    </w:p>
    <w:p w14:paraId="23AA173F" w14:textId="1F90063F" w:rsidR="00C73517" w:rsidRPr="00027005" w:rsidRDefault="00056C6E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t>Para auxílio nesta etapa, o quadro apresentado no ANEXO I poderá ser utilizado como suporte.</w:t>
      </w:r>
    </w:p>
    <w:p w14:paraId="533F9D1A" w14:textId="000F9304" w:rsidR="00056C6E" w:rsidRPr="00027005" w:rsidRDefault="007B6EB4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t>Nesta etapa, poderá a LEMA, consultoria de investimentos contratada, auxiliar no exame da documentação e prestação de explicações acerca de termos técnicos, dúvidas e demais dificuldades desse estágio do processo.</w:t>
      </w:r>
    </w:p>
    <w:p w14:paraId="2D9F89D3" w14:textId="1ADEB19E" w:rsidR="00A260B2" w:rsidRPr="00027005" w:rsidRDefault="00964190" w:rsidP="00AF5DE7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27005">
        <w:rPr>
          <w:rFonts w:cstheme="minorHAnsi"/>
          <w:b/>
          <w:bCs/>
          <w:color w:val="000000"/>
          <w:sz w:val="24"/>
          <w:szCs w:val="24"/>
        </w:rPr>
        <w:t>PREENCHIMENTO DO TERMO</w:t>
      </w:r>
    </w:p>
    <w:p w14:paraId="69EB8492" w14:textId="0E5AC735" w:rsidR="00964190" w:rsidRPr="00027005" w:rsidRDefault="0087250F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t>Com o fim da etapa de</w:t>
      </w:r>
      <w:r w:rsidR="00DD063A" w:rsidRPr="00027005">
        <w:rPr>
          <w:rFonts w:cstheme="minorHAnsi"/>
          <w:color w:val="000000"/>
          <w:sz w:val="24"/>
          <w:szCs w:val="24"/>
        </w:rPr>
        <w:t xml:space="preserve"> análise, </w:t>
      </w:r>
      <w:r w:rsidR="00E51015">
        <w:rPr>
          <w:rFonts w:cstheme="minorHAnsi"/>
          <w:color w:val="000000"/>
          <w:sz w:val="24"/>
          <w:szCs w:val="24"/>
        </w:rPr>
        <w:t>deverá ser preenchido</w:t>
      </w:r>
      <w:r w:rsidR="00DD063A" w:rsidRPr="00027005">
        <w:rPr>
          <w:rFonts w:cstheme="minorHAnsi"/>
          <w:color w:val="000000"/>
          <w:sz w:val="24"/>
          <w:szCs w:val="24"/>
        </w:rPr>
        <w:t xml:space="preserve"> o Termo de Credenciamento. Poderá a instituição </w:t>
      </w:r>
      <w:r w:rsidR="00473A9B" w:rsidRPr="00027005">
        <w:rPr>
          <w:rFonts w:cstheme="minorHAnsi"/>
          <w:color w:val="000000"/>
          <w:sz w:val="24"/>
          <w:szCs w:val="24"/>
        </w:rPr>
        <w:t xml:space="preserve">ou a consultoria </w:t>
      </w:r>
      <w:r w:rsidR="00DD063A" w:rsidRPr="00027005">
        <w:rPr>
          <w:rFonts w:cstheme="minorHAnsi"/>
          <w:color w:val="000000"/>
          <w:sz w:val="24"/>
          <w:szCs w:val="24"/>
        </w:rPr>
        <w:t>enviar</w:t>
      </w:r>
      <w:r w:rsidR="007B6EB4" w:rsidRPr="00027005">
        <w:rPr>
          <w:rFonts w:cstheme="minorHAnsi"/>
          <w:color w:val="000000"/>
          <w:sz w:val="24"/>
          <w:szCs w:val="24"/>
        </w:rPr>
        <w:t xml:space="preserve"> o</w:t>
      </w:r>
      <w:r w:rsidR="007B6EB4" w:rsidRPr="009377E1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="007B6EB4" w:rsidRPr="00027005">
        <w:rPr>
          <w:rFonts w:cstheme="minorHAnsi"/>
          <w:color w:val="000000"/>
          <w:sz w:val="24"/>
          <w:szCs w:val="24"/>
        </w:rPr>
        <w:t xml:space="preserve">documento </w:t>
      </w:r>
      <w:r w:rsidR="00DD063A" w:rsidRPr="00027005">
        <w:rPr>
          <w:rFonts w:cstheme="minorHAnsi"/>
          <w:color w:val="000000"/>
          <w:sz w:val="24"/>
          <w:szCs w:val="24"/>
        </w:rPr>
        <w:t>previamente preenchido com os dados da própria instituição e dos fundos. Deverá o Gestor de Recursos checar o correto preenchimento e complementar com os dados da análise.</w:t>
      </w:r>
    </w:p>
    <w:p w14:paraId="15C3B9EB" w14:textId="0B49C642" w:rsidR="001B5EF7" w:rsidRPr="00027005" w:rsidRDefault="00964190" w:rsidP="00AF5DE7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27005">
        <w:rPr>
          <w:rFonts w:cstheme="minorHAnsi"/>
          <w:b/>
          <w:bCs/>
          <w:color w:val="000000"/>
          <w:sz w:val="24"/>
          <w:szCs w:val="24"/>
        </w:rPr>
        <w:t>ENVIO PARA O COMITÊ DE INVESTIMENTOS E DELIBERAÇÃO</w:t>
      </w:r>
    </w:p>
    <w:p w14:paraId="2EDB8E16" w14:textId="757F1683" w:rsidR="00A343A8" w:rsidRPr="00027005" w:rsidRDefault="00A343A8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t>Estando a documentação completa e analisada e o termo preenchido, deverá o Gestor de Recursos encaminhar a documentação</w:t>
      </w:r>
      <w:r w:rsidR="007B6EB4" w:rsidRPr="00027005">
        <w:rPr>
          <w:rFonts w:cstheme="minorHAnsi"/>
          <w:color w:val="000000"/>
          <w:sz w:val="24"/>
          <w:szCs w:val="24"/>
        </w:rPr>
        <w:t>,</w:t>
      </w:r>
      <w:r w:rsidR="00756CE9" w:rsidRPr="00027005">
        <w:rPr>
          <w:rFonts w:cstheme="minorHAnsi"/>
          <w:color w:val="000000"/>
          <w:sz w:val="24"/>
          <w:szCs w:val="24"/>
        </w:rPr>
        <w:t xml:space="preserve"> via e-mail,</w:t>
      </w:r>
      <w:r w:rsidRPr="00027005">
        <w:rPr>
          <w:rFonts w:cstheme="minorHAnsi"/>
          <w:color w:val="000000"/>
          <w:sz w:val="24"/>
          <w:szCs w:val="24"/>
        </w:rPr>
        <w:t xml:space="preserve"> para </w:t>
      </w:r>
      <w:r w:rsidR="00756CE9" w:rsidRPr="00027005">
        <w:rPr>
          <w:rFonts w:cstheme="minorHAnsi"/>
          <w:color w:val="000000"/>
          <w:sz w:val="24"/>
          <w:szCs w:val="24"/>
        </w:rPr>
        <w:t xml:space="preserve">todos </w:t>
      </w:r>
      <w:r w:rsidRPr="00027005">
        <w:rPr>
          <w:rFonts w:cstheme="minorHAnsi"/>
          <w:color w:val="000000"/>
          <w:sz w:val="24"/>
          <w:szCs w:val="24"/>
        </w:rPr>
        <w:t xml:space="preserve">os membros do </w:t>
      </w:r>
      <w:r w:rsidR="00964190">
        <w:rPr>
          <w:rFonts w:cstheme="minorHAnsi"/>
          <w:color w:val="000000"/>
          <w:sz w:val="24"/>
          <w:szCs w:val="24"/>
        </w:rPr>
        <w:t>C</w:t>
      </w:r>
      <w:r w:rsidRPr="00027005">
        <w:rPr>
          <w:rFonts w:cstheme="minorHAnsi"/>
          <w:color w:val="000000"/>
          <w:sz w:val="24"/>
          <w:szCs w:val="24"/>
        </w:rPr>
        <w:t>omitê</w:t>
      </w:r>
      <w:r w:rsidR="007B6EB4" w:rsidRPr="00027005">
        <w:rPr>
          <w:rFonts w:cstheme="minorHAnsi"/>
          <w:color w:val="000000"/>
          <w:sz w:val="24"/>
          <w:szCs w:val="24"/>
        </w:rPr>
        <w:t xml:space="preserve"> ou realizar apresentação do Termo de Credenciamento e sua respectiva documentação em reunião ordinária ou extraordinária do colegiado,</w:t>
      </w:r>
      <w:r w:rsidRPr="00027005">
        <w:rPr>
          <w:rFonts w:cstheme="minorHAnsi"/>
          <w:color w:val="000000"/>
          <w:sz w:val="24"/>
          <w:szCs w:val="24"/>
        </w:rPr>
        <w:t xml:space="preserve"> </w:t>
      </w:r>
      <w:r w:rsidR="00A74179" w:rsidRPr="00027005">
        <w:rPr>
          <w:rFonts w:cstheme="minorHAnsi"/>
          <w:color w:val="000000"/>
          <w:sz w:val="24"/>
          <w:szCs w:val="24"/>
        </w:rPr>
        <w:t>solicitando deliberação sobre o credenciamento da instituição.</w:t>
      </w:r>
    </w:p>
    <w:p w14:paraId="030CF1B2" w14:textId="4BED7CA2" w:rsidR="00756CE9" w:rsidRPr="00027005" w:rsidRDefault="00756CE9" w:rsidP="00756CE9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lastRenderedPageBreak/>
        <w:t xml:space="preserve">Após a deliberação pelo </w:t>
      </w:r>
      <w:r w:rsidR="00964190">
        <w:rPr>
          <w:rFonts w:cstheme="minorHAnsi"/>
          <w:color w:val="000000"/>
          <w:sz w:val="24"/>
          <w:szCs w:val="24"/>
        </w:rPr>
        <w:t>C</w:t>
      </w:r>
      <w:r w:rsidRPr="00027005">
        <w:rPr>
          <w:rFonts w:cstheme="minorHAnsi"/>
          <w:color w:val="000000"/>
          <w:sz w:val="24"/>
          <w:szCs w:val="24"/>
        </w:rPr>
        <w:t xml:space="preserve">omitê de </w:t>
      </w:r>
      <w:r w:rsidR="00964190">
        <w:rPr>
          <w:rFonts w:cstheme="minorHAnsi"/>
          <w:color w:val="000000"/>
          <w:sz w:val="24"/>
          <w:szCs w:val="24"/>
        </w:rPr>
        <w:t>I</w:t>
      </w:r>
      <w:r w:rsidRPr="00027005">
        <w:rPr>
          <w:rFonts w:cstheme="minorHAnsi"/>
          <w:color w:val="000000"/>
          <w:sz w:val="24"/>
          <w:szCs w:val="24"/>
        </w:rPr>
        <w:t>nvestimentos, obrigatoriamente registrada em ata, esta deverá ser arquivada na pasta de credenciamento da instituição.</w:t>
      </w:r>
    </w:p>
    <w:p w14:paraId="5F8743C8" w14:textId="59393EDB" w:rsidR="007B6EB4" w:rsidRPr="00027005" w:rsidRDefault="00756CE9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t xml:space="preserve">Mesmo que a deliberação do </w:t>
      </w:r>
      <w:r w:rsidR="00DE416E">
        <w:rPr>
          <w:rFonts w:cstheme="minorHAnsi"/>
          <w:color w:val="000000"/>
          <w:sz w:val="24"/>
          <w:szCs w:val="24"/>
        </w:rPr>
        <w:t>C</w:t>
      </w:r>
      <w:r w:rsidRPr="00027005">
        <w:rPr>
          <w:rFonts w:cstheme="minorHAnsi"/>
          <w:color w:val="000000"/>
          <w:sz w:val="24"/>
          <w:szCs w:val="24"/>
        </w:rPr>
        <w:t>omitê seja pelo não credenciamento</w:t>
      </w:r>
      <w:r w:rsidR="00A74179" w:rsidRPr="00027005">
        <w:rPr>
          <w:rFonts w:cstheme="minorHAnsi"/>
          <w:color w:val="000000"/>
          <w:sz w:val="24"/>
          <w:szCs w:val="24"/>
        </w:rPr>
        <w:t xml:space="preserve">, a documentação deverá permanecer </w:t>
      </w:r>
      <w:r w:rsidR="00AF0F46" w:rsidRPr="00027005">
        <w:rPr>
          <w:rFonts w:cstheme="minorHAnsi"/>
          <w:color w:val="000000"/>
          <w:sz w:val="24"/>
          <w:szCs w:val="24"/>
        </w:rPr>
        <w:t xml:space="preserve">arquivada. </w:t>
      </w:r>
    </w:p>
    <w:p w14:paraId="708678DA" w14:textId="7ACBDE9D" w:rsidR="00814647" w:rsidRPr="00027005" w:rsidRDefault="00AF0F46" w:rsidP="00F433B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t xml:space="preserve">Em caso de </w:t>
      </w:r>
      <w:r w:rsidR="007B6EB4" w:rsidRPr="00027005">
        <w:rPr>
          <w:rFonts w:cstheme="minorHAnsi"/>
          <w:color w:val="000000"/>
          <w:sz w:val="24"/>
          <w:szCs w:val="24"/>
        </w:rPr>
        <w:t>aceitação</w:t>
      </w:r>
      <w:r w:rsidRPr="00027005">
        <w:rPr>
          <w:rFonts w:cstheme="minorHAnsi"/>
          <w:color w:val="000000"/>
          <w:sz w:val="24"/>
          <w:szCs w:val="24"/>
        </w:rPr>
        <w:t>, deverá ser considerada a d</w:t>
      </w:r>
      <w:r w:rsidR="00392024" w:rsidRPr="00027005">
        <w:rPr>
          <w:rFonts w:cstheme="minorHAnsi"/>
          <w:color w:val="000000"/>
          <w:sz w:val="24"/>
          <w:szCs w:val="24"/>
        </w:rPr>
        <w:t xml:space="preserve">ata da aprovação como a data inicial do credenciamento, que será válido por 24 meses. </w:t>
      </w:r>
    </w:p>
    <w:p w14:paraId="1AAE9EA5" w14:textId="6500A888" w:rsidR="00CE133E" w:rsidRPr="00027005" w:rsidRDefault="00DE416E" w:rsidP="00AF5DE7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27005">
        <w:rPr>
          <w:rFonts w:cstheme="minorHAnsi"/>
          <w:b/>
          <w:bCs/>
          <w:color w:val="000000"/>
          <w:sz w:val="24"/>
          <w:szCs w:val="24"/>
        </w:rPr>
        <w:t>ARQUIVAMENTO DA DOCUMENTAÇÃO</w:t>
      </w:r>
    </w:p>
    <w:p w14:paraId="50E59AEF" w14:textId="0B6A4088" w:rsidR="00343463" w:rsidRPr="00027005" w:rsidRDefault="00A73391" w:rsidP="00343463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t xml:space="preserve">Além da documentação já recebida e analisada, o Gestor de Recursos será o responsável por arquivar na mesma pasta a ata da reunião do </w:t>
      </w:r>
      <w:r w:rsidR="00DE416E">
        <w:rPr>
          <w:rFonts w:cstheme="minorHAnsi"/>
          <w:color w:val="000000"/>
          <w:sz w:val="24"/>
          <w:szCs w:val="24"/>
        </w:rPr>
        <w:t>C</w:t>
      </w:r>
      <w:r w:rsidRPr="00027005">
        <w:rPr>
          <w:rFonts w:cstheme="minorHAnsi"/>
          <w:color w:val="000000"/>
          <w:sz w:val="24"/>
          <w:szCs w:val="24"/>
        </w:rPr>
        <w:t>omitê que deliberou pela aprovação ou não do credenciamento.</w:t>
      </w:r>
    </w:p>
    <w:p w14:paraId="04B74C45" w14:textId="2CBA8FDC" w:rsidR="00343463" w:rsidRPr="00027005" w:rsidRDefault="00DE416E" w:rsidP="00AF5DE7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27005">
        <w:rPr>
          <w:rFonts w:cstheme="minorHAnsi"/>
          <w:b/>
          <w:bCs/>
          <w:color w:val="000000"/>
          <w:sz w:val="24"/>
          <w:szCs w:val="24"/>
        </w:rPr>
        <w:t>ATUALIZAÇÃO DA LISTA DE INSTITUIÇÕES CREDENCIADAS E PUBLICAÇÃO NO SITE</w:t>
      </w:r>
    </w:p>
    <w:p w14:paraId="294A3CB8" w14:textId="4B98F7E5" w:rsidR="00343463" w:rsidRPr="00027005" w:rsidRDefault="00C3346A" w:rsidP="00343463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t>P</w:t>
      </w:r>
      <w:r w:rsidR="00343463" w:rsidRPr="00027005">
        <w:rPr>
          <w:rFonts w:cstheme="minorHAnsi"/>
          <w:color w:val="000000"/>
          <w:sz w:val="24"/>
          <w:szCs w:val="24"/>
        </w:rPr>
        <w:t xml:space="preserve">or fim, o Gestor de Recursos </w:t>
      </w:r>
      <w:r w:rsidRPr="00027005">
        <w:rPr>
          <w:rFonts w:cstheme="minorHAnsi"/>
          <w:color w:val="000000"/>
          <w:sz w:val="24"/>
          <w:szCs w:val="24"/>
        </w:rPr>
        <w:t xml:space="preserve">será responsável pela </w:t>
      </w:r>
      <w:r w:rsidR="00343463" w:rsidRPr="00027005">
        <w:rPr>
          <w:rFonts w:cstheme="minorHAnsi"/>
          <w:color w:val="000000"/>
          <w:sz w:val="24"/>
          <w:szCs w:val="24"/>
        </w:rPr>
        <w:t>atualiza</w:t>
      </w:r>
      <w:r w:rsidRPr="00027005">
        <w:rPr>
          <w:rFonts w:cstheme="minorHAnsi"/>
          <w:color w:val="000000"/>
          <w:sz w:val="24"/>
          <w:szCs w:val="24"/>
        </w:rPr>
        <w:t>ção</w:t>
      </w:r>
      <w:r w:rsidR="00343463" w:rsidRPr="00027005">
        <w:rPr>
          <w:rFonts w:cstheme="minorHAnsi"/>
          <w:color w:val="000000"/>
          <w:sz w:val="24"/>
          <w:szCs w:val="24"/>
        </w:rPr>
        <w:t xml:space="preserve"> </w:t>
      </w:r>
      <w:r w:rsidRPr="00027005">
        <w:rPr>
          <w:rFonts w:cstheme="minorHAnsi"/>
          <w:color w:val="000000"/>
          <w:sz w:val="24"/>
          <w:szCs w:val="24"/>
        </w:rPr>
        <w:t xml:space="preserve">e publicação no site </w:t>
      </w:r>
      <w:r w:rsidR="00E51015">
        <w:rPr>
          <w:rFonts w:cstheme="minorHAnsi"/>
          <w:color w:val="000000"/>
          <w:sz w:val="24"/>
          <w:szCs w:val="24"/>
        </w:rPr>
        <w:t xml:space="preserve">do RPPS </w:t>
      </w:r>
      <w:r w:rsidR="00343463" w:rsidRPr="00027005">
        <w:rPr>
          <w:rFonts w:cstheme="minorHAnsi"/>
          <w:color w:val="000000"/>
          <w:sz w:val="24"/>
          <w:szCs w:val="24"/>
        </w:rPr>
        <w:t>a lista das instituições credenciadas</w:t>
      </w:r>
      <w:r w:rsidRPr="00027005">
        <w:rPr>
          <w:rFonts w:cstheme="minorHAnsi"/>
          <w:color w:val="000000"/>
          <w:sz w:val="24"/>
          <w:szCs w:val="24"/>
        </w:rPr>
        <w:t xml:space="preserve">. Deverão ser observados </w:t>
      </w:r>
      <w:r w:rsidR="00461E33" w:rsidRPr="00027005">
        <w:rPr>
          <w:rFonts w:cstheme="minorHAnsi"/>
          <w:color w:val="000000"/>
          <w:sz w:val="24"/>
          <w:szCs w:val="24"/>
        </w:rPr>
        <w:t>24 meses contados da data da aprovação pelo Comitê</w:t>
      </w:r>
      <w:r w:rsidRPr="00027005">
        <w:rPr>
          <w:rFonts w:cstheme="minorHAnsi"/>
          <w:color w:val="000000"/>
          <w:sz w:val="24"/>
          <w:szCs w:val="24"/>
        </w:rPr>
        <w:t xml:space="preserve"> para cada instituição. </w:t>
      </w:r>
      <w:r w:rsidR="008308F2" w:rsidRPr="00027005">
        <w:rPr>
          <w:rFonts w:cstheme="minorHAnsi"/>
          <w:color w:val="000000"/>
          <w:sz w:val="24"/>
          <w:szCs w:val="24"/>
        </w:rPr>
        <w:t>Não é necessário publicar nenhuma informação sobre instituições não credenciadas.</w:t>
      </w:r>
    </w:p>
    <w:p w14:paraId="5B7C7C17" w14:textId="69A3B5ED" w:rsidR="00A73391" w:rsidRDefault="00A73391" w:rsidP="00A7339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48873258" w14:textId="05A32D5E" w:rsidR="00475A7F" w:rsidRDefault="00475A7F" w:rsidP="00A7339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601028FE" w14:textId="67017ACD" w:rsidR="00475A7F" w:rsidRDefault="00475A7F" w:rsidP="00A7339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62D675B0" w14:textId="586DBA2D" w:rsidR="00475A7F" w:rsidRDefault="00475A7F" w:rsidP="00A7339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048C3701" w14:textId="77777777" w:rsidR="00475A7F" w:rsidRDefault="00475A7F" w:rsidP="00A7339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204411F0" w14:textId="4A7ACAD5" w:rsidR="00731466" w:rsidRDefault="00731466" w:rsidP="00A7339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63C425CB" w14:textId="76EAC378" w:rsidR="00056C6E" w:rsidRDefault="00056C6E" w:rsidP="00A7339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13FEE800" w14:textId="77777777" w:rsidR="000E37D5" w:rsidRDefault="000E37D5" w:rsidP="00A7339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4EBFDD39" w14:textId="77777777" w:rsidR="000E37D5" w:rsidRDefault="000E37D5" w:rsidP="00A7339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7DC5F76E" w14:textId="77777777" w:rsidR="000E37D5" w:rsidRDefault="000E37D5" w:rsidP="00A7339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2759D3EC" w14:textId="3C23CBFE" w:rsidR="00056C6E" w:rsidRDefault="00056C6E" w:rsidP="00A7339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7CBD6784" w14:textId="016FAB54" w:rsidR="00731466" w:rsidRPr="00027005" w:rsidRDefault="00731466" w:rsidP="00A7339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27005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ANEXO I </w:t>
      </w:r>
    </w:p>
    <w:p w14:paraId="340C66AB" w14:textId="34A3EF0F" w:rsidR="00731466" w:rsidRDefault="00731466" w:rsidP="00A73391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27005">
        <w:rPr>
          <w:rFonts w:cstheme="minorHAnsi"/>
          <w:b/>
          <w:bCs/>
          <w:color w:val="000000"/>
          <w:sz w:val="24"/>
          <w:szCs w:val="24"/>
        </w:rPr>
        <w:t>Quadro de análise da documentação e atendimento dos critérios.</w:t>
      </w:r>
    </w:p>
    <w:p w14:paraId="5785664F" w14:textId="77777777" w:rsidR="0033307B" w:rsidRPr="00027005" w:rsidRDefault="0033307B" w:rsidP="0033307B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 w:rsidRPr="00027005">
        <w:rPr>
          <w:rFonts w:cstheme="minorHAnsi"/>
          <w:color w:val="000000"/>
          <w:sz w:val="24"/>
          <w:szCs w:val="24"/>
        </w:rPr>
        <w:t xml:space="preserve">O quadro utilizado aponta os critérios mínimos abordado na etapa de análise da documentação. </w:t>
      </w:r>
    </w:p>
    <w:tbl>
      <w:tblPr>
        <w:tblW w:w="10609" w:type="dxa"/>
        <w:tblInd w:w="-1188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1225"/>
        <w:gridCol w:w="6745"/>
      </w:tblGrid>
      <w:tr w:rsidR="00731466" w:rsidRPr="009377E1" w14:paraId="2BD52A86" w14:textId="77777777" w:rsidTr="000E37D5">
        <w:trPr>
          <w:trHeight w:val="249"/>
        </w:trPr>
        <w:tc>
          <w:tcPr>
            <w:tcW w:w="2906" w:type="dxa"/>
            <w:shd w:val="clear" w:color="auto" w:fill="D0CECE" w:themeFill="background2" w:themeFillShade="E6"/>
            <w:noWrap/>
            <w:vAlign w:val="center"/>
            <w:hideMark/>
          </w:tcPr>
          <w:p w14:paraId="5AC25DB6" w14:textId="1EE16F5C" w:rsidR="00731466" w:rsidRPr="00027005" w:rsidRDefault="00027005" w:rsidP="00141C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270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1225" w:type="dxa"/>
            <w:shd w:val="clear" w:color="auto" w:fill="D0CECE" w:themeFill="background2" w:themeFillShade="E6"/>
            <w:noWrap/>
            <w:vAlign w:val="center"/>
            <w:hideMark/>
          </w:tcPr>
          <w:p w14:paraId="6D91FE88" w14:textId="655F6BBA" w:rsidR="00731466" w:rsidRPr="00027005" w:rsidRDefault="00027005" w:rsidP="00141C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270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ATENDE?</w:t>
            </w:r>
          </w:p>
          <w:p w14:paraId="14DEAB6F" w14:textId="67557721" w:rsidR="00731466" w:rsidRPr="00027005" w:rsidRDefault="00027005" w:rsidP="00141C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75A7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(SIM OU NÃO)</w:t>
            </w:r>
          </w:p>
        </w:tc>
        <w:tc>
          <w:tcPr>
            <w:tcW w:w="6478" w:type="dxa"/>
            <w:shd w:val="clear" w:color="auto" w:fill="D0CECE" w:themeFill="background2" w:themeFillShade="E6"/>
            <w:noWrap/>
            <w:vAlign w:val="center"/>
            <w:hideMark/>
          </w:tcPr>
          <w:p w14:paraId="3D6376E6" w14:textId="19EE56DA" w:rsidR="00731466" w:rsidRPr="00027005" w:rsidRDefault="00027005" w:rsidP="00141C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2700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CONSULTA EXTRA</w:t>
            </w:r>
          </w:p>
        </w:tc>
      </w:tr>
      <w:tr w:rsidR="00731466" w:rsidRPr="009377E1" w14:paraId="17BAF43F" w14:textId="77777777" w:rsidTr="000E37D5">
        <w:trPr>
          <w:trHeight w:val="543"/>
        </w:trPr>
        <w:tc>
          <w:tcPr>
            <w:tcW w:w="2906" w:type="dxa"/>
            <w:vMerge w:val="restart"/>
            <w:shd w:val="clear" w:color="auto" w:fill="auto"/>
            <w:noWrap/>
            <w:vAlign w:val="center"/>
            <w:hideMark/>
          </w:tcPr>
          <w:p w14:paraId="2BCD2FC5" w14:textId="77777777" w:rsidR="00731466" w:rsidRPr="00027005" w:rsidRDefault="0073146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2700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Autorização Bacen ou CVM;</w:t>
            </w:r>
          </w:p>
        </w:tc>
        <w:tc>
          <w:tcPr>
            <w:tcW w:w="1225" w:type="dxa"/>
            <w:vMerge w:val="restart"/>
            <w:shd w:val="clear" w:color="auto" w:fill="auto"/>
            <w:noWrap/>
            <w:vAlign w:val="center"/>
            <w:hideMark/>
          </w:tcPr>
          <w:p w14:paraId="79AE7147" w14:textId="77777777" w:rsidR="00731466" w:rsidRPr="00027005" w:rsidRDefault="0073146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2700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78" w:type="dxa"/>
            <w:shd w:val="clear" w:color="auto" w:fill="auto"/>
            <w:noWrap/>
            <w:vAlign w:val="center"/>
            <w:hideMark/>
          </w:tcPr>
          <w:p w14:paraId="343CB365" w14:textId="1172A2E8" w:rsidR="00731466" w:rsidRPr="00027005" w:rsidRDefault="00A275B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hyperlink r:id="rId12" w:history="1">
              <w:r w:rsidR="00731466" w:rsidRPr="00027005">
                <w:rPr>
                  <w:rStyle w:val="Hyperlink"/>
                  <w:rFonts w:eastAsia="Times New Roman" w:cstheme="minorHAnsi"/>
                  <w:sz w:val="24"/>
                  <w:szCs w:val="24"/>
                  <w:lang w:eastAsia="pt-BR"/>
                </w:rPr>
                <w:t>https://sistemas.cvm.gov.br/?CadGeral</w:t>
              </w:r>
            </w:hyperlink>
          </w:p>
        </w:tc>
      </w:tr>
      <w:tr w:rsidR="00731466" w:rsidRPr="009377E1" w14:paraId="6B452966" w14:textId="77777777" w:rsidTr="000E37D5">
        <w:trPr>
          <w:trHeight w:val="543"/>
        </w:trPr>
        <w:tc>
          <w:tcPr>
            <w:tcW w:w="2906" w:type="dxa"/>
            <w:vMerge/>
            <w:vAlign w:val="center"/>
            <w:hideMark/>
          </w:tcPr>
          <w:p w14:paraId="7A38E475" w14:textId="77777777" w:rsidR="00731466" w:rsidRPr="00027005" w:rsidRDefault="0073146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14:paraId="73A158F5" w14:textId="77777777" w:rsidR="00731466" w:rsidRPr="00027005" w:rsidRDefault="0073146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478" w:type="dxa"/>
            <w:shd w:val="clear" w:color="auto" w:fill="auto"/>
            <w:noWrap/>
            <w:vAlign w:val="center"/>
            <w:hideMark/>
          </w:tcPr>
          <w:p w14:paraId="0FDEA3F8" w14:textId="7C373527" w:rsidR="00731466" w:rsidRPr="00027005" w:rsidRDefault="00A275B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hyperlink r:id="rId13" w:history="1">
              <w:r w:rsidR="00731466" w:rsidRPr="00027005">
                <w:rPr>
                  <w:rStyle w:val="Hyperlink"/>
                  <w:rFonts w:eastAsia="Times New Roman" w:cstheme="minorHAnsi"/>
                  <w:sz w:val="24"/>
                  <w:szCs w:val="24"/>
                  <w:lang w:eastAsia="pt-BR"/>
                </w:rPr>
                <w:t>https://www.bcb.gov.br/estabilidadefinanceira/encontreinstituicao</w:t>
              </w:r>
            </w:hyperlink>
          </w:p>
        </w:tc>
      </w:tr>
      <w:tr w:rsidR="00731466" w:rsidRPr="009377E1" w14:paraId="3CEAB87A" w14:textId="77777777" w:rsidTr="000E37D5">
        <w:trPr>
          <w:trHeight w:val="543"/>
        </w:trPr>
        <w:tc>
          <w:tcPr>
            <w:tcW w:w="2906" w:type="dxa"/>
            <w:vMerge w:val="restart"/>
            <w:shd w:val="clear" w:color="auto" w:fill="auto"/>
            <w:vAlign w:val="center"/>
            <w:hideMark/>
          </w:tcPr>
          <w:p w14:paraId="575212C2" w14:textId="77777777" w:rsidR="00731466" w:rsidRPr="00027005" w:rsidRDefault="0073146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2700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Comprovação de inexistência de suspensão ou inabilitação (CVM ou BACEN);</w:t>
            </w:r>
          </w:p>
        </w:tc>
        <w:tc>
          <w:tcPr>
            <w:tcW w:w="1225" w:type="dxa"/>
            <w:vMerge w:val="restart"/>
            <w:shd w:val="clear" w:color="auto" w:fill="auto"/>
            <w:noWrap/>
            <w:vAlign w:val="center"/>
            <w:hideMark/>
          </w:tcPr>
          <w:p w14:paraId="02A67B1D" w14:textId="77777777" w:rsidR="00731466" w:rsidRPr="00027005" w:rsidRDefault="0073146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2700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78" w:type="dxa"/>
            <w:shd w:val="clear" w:color="auto" w:fill="auto"/>
            <w:noWrap/>
            <w:vAlign w:val="center"/>
            <w:hideMark/>
          </w:tcPr>
          <w:p w14:paraId="47CDCAD2" w14:textId="1391B841" w:rsidR="00731466" w:rsidRPr="00027005" w:rsidRDefault="00A275B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hyperlink r:id="rId14" w:history="1">
              <w:r w:rsidR="00731466" w:rsidRPr="00027005">
                <w:rPr>
                  <w:rStyle w:val="Hyperlink"/>
                  <w:rFonts w:eastAsia="Times New Roman" w:cstheme="minorHAnsi"/>
                  <w:sz w:val="24"/>
                  <w:szCs w:val="24"/>
                  <w:lang w:eastAsia="pt-BR"/>
                </w:rPr>
                <w:t>https://sistemas.cvm.gov.br/port/processos/consultaprocessos.asp</w:t>
              </w:r>
            </w:hyperlink>
          </w:p>
        </w:tc>
      </w:tr>
      <w:tr w:rsidR="00731466" w:rsidRPr="009377E1" w14:paraId="6BFF9E5D" w14:textId="77777777" w:rsidTr="000E37D5">
        <w:trPr>
          <w:trHeight w:val="543"/>
        </w:trPr>
        <w:tc>
          <w:tcPr>
            <w:tcW w:w="2906" w:type="dxa"/>
            <w:vMerge/>
            <w:vAlign w:val="center"/>
            <w:hideMark/>
          </w:tcPr>
          <w:p w14:paraId="13B3F72A" w14:textId="77777777" w:rsidR="00731466" w:rsidRPr="00027005" w:rsidRDefault="0073146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14:paraId="7A1DCDBC" w14:textId="77777777" w:rsidR="00731466" w:rsidRPr="00027005" w:rsidRDefault="0073146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478" w:type="dxa"/>
            <w:shd w:val="clear" w:color="auto" w:fill="auto"/>
            <w:noWrap/>
            <w:vAlign w:val="center"/>
            <w:hideMark/>
          </w:tcPr>
          <w:p w14:paraId="646AB070" w14:textId="4C10306C" w:rsidR="00731466" w:rsidRPr="00027005" w:rsidRDefault="00A275B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hyperlink r:id="rId15" w:history="1">
              <w:r w:rsidR="00731466" w:rsidRPr="00027005">
                <w:rPr>
                  <w:rStyle w:val="Hyperlink"/>
                  <w:rFonts w:eastAsia="Times New Roman" w:cstheme="minorHAnsi"/>
                  <w:sz w:val="24"/>
                  <w:szCs w:val="24"/>
                  <w:lang w:eastAsia="pt-BR"/>
                </w:rPr>
                <w:t>https://www3.bcb.gov.br/certiaut/emissao/emissao</w:t>
              </w:r>
            </w:hyperlink>
          </w:p>
        </w:tc>
      </w:tr>
      <w:tr w:rsidR="00731466" w:rsidRPr="009377E1" w14:paraId="73942C36" w14:textId="77777777" w:rsidTr="000E37D5">
        <w:trPr>
          <w:trHeight w:val="543"/>
        </w:trPr>
        <w:tc>
          <w:tcPr>
            <w:tcW w:w="2906" w:type="dxa"/>
            <w:shd w:val="clear" w:color="auto" w:fill="auto"/>
            <w:noWrap/>
            <w:vAlign w:val="center"/>
            <w:hideMark/>
          </w:tcPr>
          <w:p w14:paraId="486B4248" w14:textId="77777777" w:rsidR="00731466" w:rsidRPr="00027005" w:rsidRDefault="0073146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2700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Questionário </w:t>
            </w:r>
            <w:proofErr w:type="spellStart"/>
            <w:r w:rsidRPr="0002700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t-BR"/>
              </w:rPr>
              <w:t>Due</w:t>
            </w:r>
            <w:proofErr w:type="spellEnd"/>
            <w:r w:rsidRPr="0002700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2700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t-BR"/>
              </w:rPr>
              <w:t>Diligence</w:t>
            </w:r>
            <w:proofErr w:type="spellEnd"/>
            <w:r w:rsidRPr="0002700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da Instituição;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14:paraId="55DA9E98" w14:textId="77777777" w:rsidR="00731466" w:rsidRPr="00027005" w:rsidRDefault="0073146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2700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78" w:type="dxa"/>
            <w:shd w:val="clear" w:color="auto" w:fill="auto"/>
            <w:noWrap/>
            <w:vAlign w:val="center"/>
            <w:hideMark/>
          </w:tcPr>
          <w:p w14:paraId="3F031046" w14:textId="77777777" w:rsidR="00731466" w:rsidRPr="00027005" w:rsidRDefault="0073146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2700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Anbima</w:t>
            </w:r>
            <w:proofErr w:type="spellEnd"/>
            <w:r w:rsidRPr="0002700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ou site da instituição</w:t>
            </w:r>
          </w:p>
        </w:tc>
      </w:tr>
      <w:tr w:rsidR="00731466" w:rsidRPr="009377E1" w14:paraId="50ACA762" w14:textId="77777777" w:rsidTr="000E37D5">
        <w:trPr>
          <w:trHeight w:val="1141"/>
        </w:trPr>
        <w:tc>
          <w:tcPr>
            <w:tcW w:w="29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0B35" w14:textId="77777777" w:rsidR="00731466" w:rsidRPr="00027005" w:rsidRDefault="0073146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2700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Termos de Credenciamento (se fundos, contemplar administrador, gestor e distribuidor);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9FD6" w14:textId="77777777" w:rsidR="00731466" w:rsidRPr="00027005" w:rsidRDefault="0073146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2700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4B9554" w14:textId="796FA617" w:rsidR="00731466" w:rsidRPr="00027005" w:rsidRDefault="00A275B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hyperlink r:id="rId16" w:history="1">
              <w:r w:rsidR="00731466" w:rsidRPr="00027005">
                <w:rPr>
                  <w:rStyle w:val="Hyperlink"/>
                  <w:rFonts w:eastAsia="Times New Roman" w:cstheme="minorHAnsi"/>
                  <w:sz w:val="24"/>
                  <w:szCs w:val="24"/>
                  <w:lang w:eastAsia="pt-BR"/>
                </w:rPr>
                <w:t>https://www.gov.br/trabalho-e-previdencia/pt-br/assuntos/previdencia-no-servico-publico/investimentos-do-rpps/credenciamento-pelos-rpps-das-instituicoes-e-produtos-de-investimento</w:t>
              </w:r>
            </w:hyperlink>
          </w:p>
        </w:tc>
      </w:tr>
      <w:tr w:rsidR="00731466" w:rsidRPr="009377E1" w14:paraId="6949EDA0" w14:textId="77777777" w:rsidTr="000E37D5">
        <w:trPr>
          <w:trHeight w:val="1503"/>
        </w:trPr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3BB6" w14:textId="77777777" w:rsidR="00731466" w:rsidRPr="00027005" w:rsidRDefault="0073146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2700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Relatório de</w:t>
            </w:r>
            <w:r w:rsidRPr="0002700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t-BR"/>
              </w:rPr>
              <w:t xml:space="preserve"> Rating</w:t>
            </w:r>
            <w:r w:rsidRPr="0002700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de Gestão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782D" w14:textId="77777777" w:rsidR="00731466" w:rsidRPr="00027005" w:rsidRDefault="0073146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2700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C045FE" w14:textId="77777777" w:rsidR="00731466" w:rsidRPr="00027005" w:rsidRDefault="00731466" w:rsidP="00141C4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2700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Site das agências classificadoras de risco (</w:t>
            </w:r>
            <w:r w:rsidRPr="0002700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t-BR"/>
              </w:rPr>
              <w:t xml:space="preserve">Fitch, </w:t>
            </w:r>
            <w:proofErr w:type="spellStart"/>
            <w:r w:rsidRPr="0002700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t-BR"/>
              </w:rPr>
              <w:t>Moodys</w:t>
            </w:r>
            <w:proofErr w:type="spellEnd"/>
            <w:r w:rsidRPr="00027005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t-BR"/>
              </w:rPr>
              <w:t>, S&amp;P, Austin, SR</w:t>
            </w:r>
            <w:r w:rsidRPr="0002700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02700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etc</w:t>
            </w:r>
            <w:proofErr w:type="spellEnd"/>
            <w:r w:rsidRPr="0002700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</w:tbl>
    <w:p w14:paraId="67985A05" w14:textId="77777777" w:rsidR="00731466" w:rsidRDefault="00731466" w:rsidP="00A7339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07962597" w14:textId="77777777" w:rsidR="000E37D5" w:rsidRDefault="000E37D5" w:rsidP="00A7339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1E8CC033" w14:textId="77777777" w:rsidR="000E37D5" w:rsidRDefault="000E37D5" w:rsidP="00A7339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1FC8ED40" w14:textId="77777777" w:rsidR="000E37D5" w:rsidRDefault="000E37D5" w:rsidP="00A7339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607FC22A" w14:textId="77777777" w:rsidR="000E37D5" w:rsidRDefault="000E37D5" w:rsidP="00A7339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1CB617A3" w14:textId="77777777" w:rsidR="000E37D5" w:rsidRDefault="000E37D5" w:rsidP="00A7339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1E8D7902" w14:textId="77777777" w:rsidR="000E37D5" w:rsidRDefault="000E37D5" w:rsidP="00A73391">
      <w:pPr>
        <w:autoSpaceDE w:val="0"/>
        <w:autoSpaceDN w:val="0"/>
        <w:adjustRightInd w:val="0"/>
        <w:spacing w:after="120" w:line="36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13D21734" w14:textId="77777777" w:rsidR="00A85112" w:rsidRDefault="00A85112" w:rsidP="006A6F32">
      <w:pPr>
        <w:autoSpaceDE w:val="0"/>
        <w:autoSpaceDN w:val="0"/>
        <w:adjustRightInd w:val="0"/>
        <w:spacing w:after="120" w:line="360" w:lineRule="auto"/>
        <w:rPr>
          <w:rFonts w:ascii="Open Sans" w:hAnsi="Open Sans" w:cs="Open Sans"/>
          <w:color w:val="000000"/>
          <w:sz w:val="24"/>
          <w:szCs w:val="24"/>
        </w:rPr>
      </w:pPr>
    </w:p>
    <w:p w14:paraId="4FBCC1FE" w14:textId="77777777" w:rsidR="00A85112" w:rsidRDefault="00A85112" w:rsidP="006A6F32">
      <w:pPr>
        <w:autoSpaceDE w:val="0"/>
        <w:autoSpaceDN w:val="0"/>
        <w:adjustRightInd w:val="0"/>
        <w:spacing w:after="120" w:line="360" w:lineRule="auto"/>
        <w:rPr>
          <w:rFonts w:ascii="Open Sans" w:hAnsi="Open Sans" w:cs="Open Sans"/>
          <w:color w:val="000000"/>
          <w:sz w:val="24"/>
          <w:szCs w:val="24"/>
        </w:rPr>
      </w:pPr>
    </w:p>
    <w:p w14:paraId="56AFA69C" w14:textId="77777777" w:rsidR="00400A3C" w:rsidRDefault="00400A3C" w:rsidP="00A85112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5D75C376" w14:textId="41618ECA" w:rsidR="00A85112" w:rsidRPr="00027005" w:rsidRDefault="00A85112" w:rsidP="00A85112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27005">
        <w:rPr>
          <w:rFonts w:cstheme="minorHAnsi"/>
          <w:b/>
          <w:bCs/>
          <w:color w:val="000000"/>
          <w:sz w:val="24"/>
          <w:szCs w:val="24"/>
        </w:rPr>
        <w:lastRenderedPageBreak/>
        <w:t>ANEXO I</w:t>
      </w:r>
      <w:r>
        <w:rPr>
          <w:rFonts w:cstheme="minorHAnsi"/>
          <w:b/>
          <w:bCs/>
          <w:color w:val="000000"/>
          <w:sz w:val="24"/>
          <w:szCs w:val="24"/>
        </w:rPr>
        <w:t>I</w:t>
      </w:r>
    </w:p>
    <w:p w14:paraId="09D8652E" w14:textId="090382A4" w:rsidR="00A85112" w:rsidRDefault="00A85112" w:rsidP="00A85112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27005">
        <w:rPr>
          <w:rFonts w:cstheme="minorHAnsi"/>
          <w:b/>
          <w:bCs/>
          <w:color w:val="000000"/>
          <w:sz w:val="24"/>
          <w:szCs w:val="24"/>
        </w:rPr>
        <w:t>Quadro d</w:t>
      </w:r>
      <w:r>
        <w:rPr>
          <w:rFonts w:cstheme="minorHAnsi"/>
          <w:b/>
          <w:bCs/>
          <w:color w:val="000000"/>
          <w:sz w:val="24"/>
          <w:szCs w:val="24"/>
        </w:rPr>
        <w:t>o Fluxo do</w:t>
      </w:r>
      <w:r w:rsidRPr="00027005">
        <w:rPr>
          <w:rFonts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</w:rPr>
        <w:t>Processo de decisão e Credenciamento de Instituições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828"/>
        <w:gridCol w:w="3118"/>
      </w:tblGrid>
      <w:tr w:rsidR="00A85112" w14:paraId="4933AA35" w14:textId="376188F4" w:rsidTr="006A6F32">
        <w:trPr>
          <w:trHeight w:val="426"/>
          <w:jc w:val="center"/>
        </w:trPr>
        <w:tc>
          <w:tcPr>
            <w:tcW w:w="2830" w:type="dxa"/>
            <w:shd w:val="clear" w:color="auto" w:fill="8496B0" w:themeFill="text2" w:themeFillTint="99"/>
            <w:vAlign w:val="center"/>
          </w:tcPr>
          <w:p w14:paraId="4DAE5673" w14:textId="77777777" w:rsidR="00A85112" w:rsidRPr="000E37D5" w:rsidRDefault="00A85112" w:rsidP="004577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TIPO DE ALÇADAS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34375138" w14:textId="0C30B0AB" w:rsidR="00A85112" w:rsidRPr="000E37D5" w:rsidRDefault="006A6F32" w:rsidP="004577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RESPONSÁVEL</w:t>
            </w:r>
          </w:p>
        </w:tc>
        <w:tc>
          <w:tcPr>
            <w:tcW w:w="3118" w:type="dxa"/>
            <w:shd w:val="clear" w:color="auto" w:fill="8496B0" w:themeFill="text2" w:themeFillTint="99"/>
            <w:vAlign w:val="center"/>
          </w:tcPr>
          <w:p w14:paraId="33CFBC3A" w14:textId="6A1D6367" w:rsidR="00A85112" w:rsidRDefault="006A6F32" w:rsidP="00A851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CARGO/FUNÇÃO</w:t>
            </w:r>
          </w:p>
        </w:tc>
      </w:tr>
      <w:tr w:rsidR="00A85112" w14:paraId="42C938E2" w14:textId="4374D0C4" w:rsidTr="006A6F32">
        <w:trPr>
          <w:trHeight w:val="842"/>
          <w:jc w:val="center"/>
        </w:trPr>
        <w:tc>
          <w:tcPr>
            <w:tcW w:w="2830" w:type="dxa"/>
            <w:vAlign w:val="center"/>
          </w:tcPr>
          <w:p w14:paraId="5E159D6D" w14:textId="00908E44" w:rsidR="00A85112" w:rsidRPr="00A85112" w:rsidRDefault="00A85112" w:rsidP="00457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85112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Recepção da documentação</w:t>
            </w:r>
          </w:p>
        </w:tc>
        <w:tc>
          <w:tcPr>
            <w:tcW w:w="3828" w:type="dxa"/>
          </w:tcPr>
          <w:p w14:paraId="7E454732" w14:textId="77777777" w:rsidR="00A85112" w:rsidRPr="000E37D5" w:rsidRDefault="00A85112" w:rsidP="0045777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379C4EB" w14:textId="77777777" w:rsidR="00A85112" w:rsidRPr="000E37D5" w:rsidRDefault="00A85112" w:rsidP="00A8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85112" w14:paraId="5E9897B7" w14:textId="218463C8" w:rsidTr="006A6F32">
        <w:trPr>
          <w:trHeight w:val="846"/>
          <w:jc w:val="center"/>
        </w:trPr>
        <w:tc>
          <w:tcPr>
            <w:tcW w:w="2830" w:type="dxa"/>
            <w:vAlign w:val="center"/>
          </w:tcPr>
          <w:p w14:paraId="3C980959" w14:textId="218EAA42" w:rsidR="00A85112" w:rsidRPr="00A85112" w:rsidRDefault="00A85112" w:rsidP="00A8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85112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Análise da documentação</w:t>
            </w:r>
          </w:p>
        </w:tc>
        <w:tc>
          <w:tcPr>
            <w:tcW w:w="3828" w:type="dxa"/>
          </w:tcPr>
          <w:p w14:paraId="2FAB6D9B" w14:textId="77777777" w:rsidR="00A85112" w:rsidRPr="000E37D5" w:rsidRDefault="00A85112" w:rsidP="0045777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EF4C599" w14:textId="77777777" w:rsidR="00A85112" w:rsidRPr="000E37D5" w:rsidRDefault="00A85112" w:rsidP="00A8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85112" w14:paraId="457EB35A" w14:textId="3F4D6589" w:rsidTr="006A6F32">
        <w:trPr>
          <w:trHeight w:val="966"/>
          <w:jc w:val="center"/>
        </w:trPr>
        <w:tc>
          <w:tcPr>
            <w:tcW w:w="2830" w:type="dxa"/>
            <w:vAlign w:val="center"/>
          </w:tcPr>
          <w:p w14:paraId="1F014177" w14:textId="69030675" w:rsidR="00A85112" w:rsidRPr="00A85112" w:rsidRDefault="00A85112" w:rsidP="00457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85112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Preenchimento do termo</w:t>
            </w:r>
          </w:p>
        </w:tc>
        <w:tc>
          <w:tcPr>
            <w:tcW w:w="3828" w:type="dxa"/>
          </w:tcPr>
          <w:p w14:paraId="0E3940FC" w14:textId="77777777" w:rsidR="00A85112" w:rsidRPr="000E37D5" w:rsidRDefault="00A85112" w:rsidP="0045777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73D026D" w14:textId="77777777" w:rsidR="00A85112" w:rsidRPr="000E37D5" w:rsidRDefault="00A85112" w:rsidP="00A8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85112" w14:paraId="30FA24C8" w14:textId="1A92D848" w:rsidTr="006A6F32">
        <w:trPr>
          <w:trHeight w:val="850"/>
          <w:jc w:val="center"/>
        </w:trPr>
        <w:tc>
          <w:tcPr>
            <w:tcW w:w="2830" w:type="dxa"/>
            <w:vAlign w:val="center"/>
          </w:tcPr>
          <w:p w14:paraId="28B35931" w14:textId="09347843" w:rsidR="00A85112" w:rsidRPr="00A85112" w:rsidRDefault="00A85112" w:rsidP="00A8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85112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Envio para o Comitê</w:t>
            </w:r>
          </w:p>
        </w:tc>
        <w:tc>
          <w:tcPr>
            <w:tcW w:w="3828" w:type="dxa"/>
          </w:tcPr>
          <w:p w14:paraId="037169F2" w14:textId="77777777" w:rsidR="00A85112" w:rsidRPr="000E37D5" w:rsidRDefault="00A85112" w:rsidP="0045777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E7FFCFA" w14:textId="77777777" w:rsidR="00A85112" w:rsidRPr="000E37D5" w:rsidRDefault="00A85112" w:rsidP="00A8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85112" w14:paraId="390D0044" w14:textId="5F18CCD9" w:rsidTr="006A6F32">
        <w:trPr>
          <w:trHeight w:val="675"/>
          <w:jc w:val="center"/>
        </w:trPr>
        <w:tc>
          <w:tcPr>
            <w:tcW w:w="2830" w:type="dxa"/>
            <w:vAlign w:val="center"/>
          </w:tcPr>
          <w:p w14:paraId="0761EB85" w14:textId="1818A62E" w:rsidR="00A85112" w:rsidRPr="000E37D5" w:rsidRDefault="00A85112" w:rsidP="00457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Deliberação</w:t>
            </w:r>
          </w:p>
        </w:tc>
        <w:tc>
          <w:tcPr>
            <w:tcW w:w="3828" w:type="dxa"/>
          </w:tcPr>
          <w:p w14:paraId="5294FF25" w14:textId="77777777" w:rsidR="00A85112" w:rsidRPr="000E37D5" w:rsidRDefault="00A85112" w:rsidP="0045777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5778C5A" w14:textId="77777777" w:rsidR="00A85112" w:rsidRPr="000E37D5" w:rsidRDefault="00A85112" w:rsidP="00A8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85112" w14:paraId="74591F4F" w14:textId="66504BA2" w:rsidTr="006A6F32">
        <w:trPr>
          <w:trHeight w:val="1008"/>
          <w:jc w:val="center"/>
        </w:trPr>
        <w:tc>
          <w:tcPr>
            <w:tcW w:w="2830" w:type="dxa"/>
            <w:vAlign w:val="center"/>
          </w:tcPr>
          <w:p w14:paraId="42CFF1AB" w14:textId="49C3A95E" w:rsidR="00A85112" w:rsidRPr="000E37D5" w:rsidRDefault="00A85112" w:rsidP="00A8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Arquivamento da documentação</w:t>
            </w:r>
          </w:p>
        </w:tc>
        <w:tc>
          <w:tcPr>
            <w:tcW w:w="3828" w:type="dxa"/>
          </w:tcPr>
          <w:p w14:paraId="3E76F31B" w14:textId="77777777" w:rsidR="00A85112" w:rsidRPr="000E37D5" w:rsidRDefault="00A85112" w:rsidP="0045777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172781E" w14:textId="77777777" w:rsidR="00A85112" w:rsidRPr="000E37D5" w:rsidRDefault="00A85112" w:rsidP="00A8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85112" w14:paraId="781C47F5" w14:textId="77777777" w:rsidTr="006A6F32">
        <w:trPr>
          <w:trHeight w:val="1250"/>
          <w:jc w:val="center"/>
        </w:trPr>
        <w:tc>
          <w:tcPr>
            <w:tcW w:w="2830" w:type="dxa"/>
            <w:vAlign w:val="center"/>
          </w:tcPr>
          <w:p w14:paraId="746A61D9" w14:textId="1DE91C92" w:rsidR="00A85112" w:rsidRDefault="00A85112" w:rsidP="00A8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Atualização da lista de instituições credenciadas e publicação no site</w:t>
            </w:r>
          </w:p>
        </w:tc>
        <w:tc>
          <w:tcPr>
            <w:tcW w:w="3828" w:type="dxa"/>
          </w:tcPr>
          <w:p w14:paraId="3038B0CD" w14:textId="77777777" w:rsidR="00A85112" w:rsidRPr="000E37D5" w:rsidRDefault="00A85112" w:rsidP="0045777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9E382C4" w14:textId="77777777" w:rsidR="00A85112" w:rsidRPr="000E37D5" w:rsidRDefault="00A85112" w:rsidP="00A85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1A62212" w14:textId="77777777" w:rsidR="00A85112" w:rsidRPr="009377E1" w:rsidRDefault="00A85112" w:rsidP="000E37D5">
      <w:pPr>
        <w:autoSpaceDE w:val="0"/>
        <w:autoSpaceDN w:val="0"/>
        <w:adjustRightInd w:val="0"/>
        <w:spacing w:after="120" w:line="360" w:lineRule="auto"/>
        <w:jc w:val="center"/>
        <w:rPr>
          <w:rFonts w:ascii="Open Sans" w:hAnsi="Open Sans" w:cs="Open Sans"/>
          <w:color w:val="000000"/>
          <w:sz w:val="24"/>
          <w:szCs w:val="24"/>
        </w:rPr>
      </w:pPr>
    </w:p>
    <w:sectPr w:rsidR="00A85112" w:rsidRPr="009377E1" w:rsidSect="00DE416E">
      <w:footerReference w:type="default" r:id="rId17"/>
      <w:headerReference w:type="first" r:id="rId18"/>
      <w:footerReference w:type="first" r:id="rId19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FBA59" w14:textId="77777777" w:rsidR="00A275B6" w:rsidRDefault="00A275B6" w:rsidP="00DE416E">
      <w:pPr>
        <w:spacing w:after="0" w:line="240" w:lineRule="auto"/>
      </w:pPr>
      <w:r>
        <w:separator/>
      </w:r>
    </w:p>
  </w:endnote>
  <w:endnote w:type="continuationSeparator" w:id="0">
    <w:p w14:paraId="659BD30B" w14:textId="77777777" w:rsidR="00A275B6" w:rsidRDefault="00A275B6" w:rsidP="00DE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ncopate bold">
    <w:altName w:val="Times New Roman"/>
    <w:panose1 w:val="00000000000000000000"/>
    <w:charset w:val="00"/>
    <w:family w:val="roman"/>
    <w:notTrueType/>
    <w:pitch w:val="default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5306444"/>
      <w:docPartObj>
        <w:docPartGallery w:val="Page Numbers (Bottom of Page)"/>
        <w:docPartUnique/>
      </w:docPartObj>
    </w:sdtPr>
    <w:sdtEndPr/>
    <w:sdtContent>
      <w:p w14:paraId="1DE5FF06" w14:textId="440CD58B" w:rsidR="00DE416E" w:rsidRDefault="00DE416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9A7">
          <w:rPr>
            <w:noProof/>
          </w:rPr>
          <w:t>5</w:t>
        </w:r>
        <w:r>
          <w:fldChar w:fldCharType="end"/>
        </w:r>
      </w:p>
    </w:sdtContent>
  </w:sdt>
  <w:p w14:paraId="51768D9F" w14:textId="77777777" w:rsidR="00DE416E" w:rsidRDefault="00DE41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D3BB2" w14:textId="77777777" w:rsidR="004E39A7" w:rsidRDefault="004E39A7" w:rsidP="004E39A7">
    <w:pPr>
      <w:pStyle w:val="Cabealho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Av. Dr. Fernandes</w:t>
    </w:r>
    <w:r w:rsidRPr="009B1EC0">
      <w:rPr>
        <w:rFonts w:ascii="Times New Roman" w:hAnsi="Times New Roman"/>
        <w:sz w:val="18"/>
        <w:szCs w:val="18"/>
      </w:rPr>
      <w:t xml:space="preserve">, nº </w:t>
    </w:r>
    <w:r>
      <w:rPr>
        <w:rFonts w:ascii="Times New Roman" w:hAnsi="Times New Roman"/>
        <w:sz w:val="18"/>
        <w:szCs w:val="18"/>
      </w:rPr>
      <w:t>919, bairro Alto do Abrigo</w:t>
    </w:r>
    <w:r w:rsidRPr="009B1EC0">
      <w:rPr>
        <w:rFonts w:ascii="Times New Roman" w:hAnsi="Times New Roman"/>
        <w:sz w:val="18"/>
        <w:szCs w:val="18"/>
      </w:rPr>
      <w:t>, Jardim do Seridó/RN, CEP: 59343-000</w:t>
    </w:r>
  </w:p>
  <w:p w14:paraId="3D17D9A1" w14:textId="77777777" w:rsidR="004E39A7" w:rsidRDefault="004E39A7" w:rsidP="004E39A7">
    <w:pPr>
      <w:pStyle w:val="Cabealho"/>
      <w:jc w:val="center"/>
      <w:rPr>
        <w:rStyle w:val="Hyperlink"/>
        <w:rFonts w:ascii="Times New Roman" w:hAnsi="Times New Roman"/>
        <w:sz w:val="18"/>
        <w:szCs w:val="18"/>
      </w:rPr>
    </w:pPr>
    <w:hyperlink r:id="rId1" w:history="1">
      <w:r w:rsidRPr="009B1EC0">
        <w:rPr>
          <w:rStyle w:val="Hyperlink"/>
          <w:rFonts w:ascii="Times New Roman" w:hAnsi="Times New Roman"/>
          <w:sz w:val="18"/>
          <w:szCs w:val="18"/>
        </w:rPr>
        <w:t>jardimprev@outlook.com</w:t>
      </w:r>
    </w:hyperlink>
  </w:p>
  <w:p w14:paraId="10DAEC61" w14:textId="5704D7A5" w:rsidR="004E39A7" w:rsidRDefault="004E39A7" w:rsidP="004E39A7">
    <w:pPr>
      <w:pStyle w:val="Rodap"/>
      <w:jc w:val="center"/>
    </w:pPr>
    <w:r>
      <w:rPr>
        <w:rFonts w:ascii="Times New Roman" w:hAnsi="Times New Roman"/>
        <w:sz w:val="18"/>
        <w:szCs w:val="18"/>
      </w:rPr>
      <w:t>(84) 98162-2253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46D5B" w14:textId="77777777" w:rsidR="00A275B6" w:rsidRDefault="00A275B6" w:rsidP="00DE416E">
      <w:pPr>
        <w:spacing w:after="0" w:line="240" w:lineRule="auto"/>
      </w:pPr>
      <w:r>
        <w:separator/>
      </w:r>
    </w:p>
  </w:footnote>
  <w:footnote w:type="continuationSeparator" w:id="0">
    <w:p w14:paraId="7893FDE2" w14:textId="77777777" w:rsidR="00A275B6" w:rsidRDefault="00A275B6" w:rsidP="00DE4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1B12F" w14:textId="77777777" w:rsidR="004E39A7" w:rsidRDefault="004E39A7" w:rsidP="004E39A7">
    <w:pPr>
      <w:spacing w:after="0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72AB73F2" wp14:editId="368BF35D">
          <wp:extent cx="1257300" cy="6667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873729" w14:textId="77777777" w:rsidR="004E39A7" w:rsidRPr="009B1EC0" w:rsidRDefault="004E39A7" w:rsidP="004E39A7">
    <w:pPr>
      <w:spacing w:after="0"/>
      <w:jc w:val="center"/>
      <w:rPr>
        <w:rFonts w:ascii="Times New Roman" w:hAnsi="Times New Roman"/>
        <w:noProof/>
        <w:sz w:val="18"/>
        <w:szCs w:val="18"/>
      </w:rPr>
    </w:pPr>
    <w:r w:rsidRPr="009B1EC0">
      <w:rPr>
        <w:rFonts w:ascii="Times New Roman" w:hAnsi="Times New Roman"/>
        <w:noProof/>
        <w:sz w:val="18"/>
        <w:szCs w:val="18"/>
      </w:rPr>
      <w:t>INSTITUTO DE PREVIDÊNCIA DO MUNICÍPIO DE JARDIM DO SERIDÓ</w:t>
    </w:r>
  </w:p>
  <w:p w14:paraId="3A5BE6A1" w14:textId="77777777" w:rsidR="004E39A7" w:rsidRPr="009B1EC0" w:rsidRDefault="004E39A7" w:rsidP="004E39A7">
    <w:pPr>
      <w:spacing w:after="0"/>
      <w:jc w:val="center"/>
      <w:rPr>
        <w:rFonts w:ascii="Times New Roman" w:hAnsi="Times New Roman"/>
        <w:sz w:val="18"/>
        <w:szCs w:val="18"/>
      </w:rPr>
    </w:pPr>
    <w:r w:rsidRPr="009B1EC0">
      <w:rPr>
        <w:rFonts w:ascii="Times New Roman" w:hAnsi="Times New Roman"/>
        <w:noProof/>
        <w:sz w:val="18"/>
        <w:szCs w:val="18"/>
      </w:rPr>
      <w:t>CNPJ 35.001.011/0001-70</w:t>
    </w:r>
    <w:r w:rsidRPr="009B1EC0">
      <w:rPr>
        <w:rFonts w:ascii="Times New Roman" w:hAnsi="Times New Roman"/>
        <w:sz w:val="18"/>
        <w:szCs w:val="18"/>
      </w:rPr>
      <w:t xml:space="preserve">                               </w:t>
    </w:r>
  </w:p>
  <w:p w14:paraId="49C578DE" w14:textId="77777777" w:rsidR="004E39A7" w:rsidRDefault="004E39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E96"/>
    <w:multiLevelType w:val="hybridMultilevel"/>
    <w:tmpl w:val="254E9FE6"/>
    <w:lvl w:ilvl="0" w:tplc="B504EE06">
      <w:start w:val="1"/>
      <w:numFmt w:val="bullet"/>
      <w:lvlText w:val="•"/>
      <w:lvlJc w:val="left"/>
      <w:pPr>
        <w:tabs>
          <w:tab w:val="num" w:pos="4896"/>
        </w:tabs>
        <w:ind w:left="4896" w:hanging="360"/>
      </w:pPr>
      <w:rPr>
        <w:rFonts w:ascii="Times New Roman" w:hAnsi="Times New Roman" w:hint="default"/>
      </w:rPr>
    </w:lvl>
    <w:lvl w:ilvl="1" w:tplc="FFAE79C2" w:tentative="1">
      <w:start w:val="1"/>
      <w:numFmt w:val="bullet"/>
      <w:lvlText w:val="•"/>
      <w:lvlJc w:val="left"/>
      <w:pPr>
        <w:tabs>
          <w:tab w:val="num" w:pos="5616"/>
        </w:tabs>
        <w:ind w:left="5616" w:hanging="360"/>
      </w:pPr>
      <w:rPr>
        <w:rFonts w:ascii="Times New Roman" w:hAnsi="Times New Roman" w:hint="default"/>
      </w:rPr>
    </w:lvl>
    <w:lvl w:ilvl="2" w:tplc="AC5CC662" w:tentative="1">
      <w:start w:val="1"/>
      <w:numFmt w:val="bullet"/>
      <w:lvlText w:val="•"/>
      <w:lvlJc w:val="left"/>
      <w:pPr>
        <w:tabs>
          <w:tab w:val="num" w:pos="6336"/>
        </w:tabs>
        <w:ind w:left="6336" w:hanging="360"/>
      </w:pPr>
      <w:rPr>
        <w:rFonts w:ascii="Times New Roman" w:hAnsi="Times New Roman" w:hint="default"/>
      </w:rPr>
    </w:lvl>
    <w:lvl w:ilvl="3" w:tplc="123E4B5C" w:tentative="1">
      <w:start w:val="1"/>
      <w:numFmt w:val="bullet"/>
      <w:lvlText w:val="•"/>
      <w:lvlJc w:val="left"/>
      <w:pPr>
        <w:tabs>
          <w:tab w:val="num" w:pos="7056"/>
        </w:tabs>
        <w:ind w:left="7056" w:hanging="360"/>
      </w:pPr>
      <w:rPr>
        <w:rFonts w:ascii="Times New Roman" w:hAnsi="Times New Roman" w:hint="default"/>
      </w:rPr>
    </w:lvl>
    <w:lvl w:ilvl="4" w:tplc="7CF8DE2E" w:tentative="1">
      <w:start w:val="1"/>
      <w:numFmt w:val="bullet"/>
      <w:lvlText w:val="•"/>
      <w:lvlJc w:val="left"/>
      <w:pPr>
        <w:tabs>
          <w:tab w:val="num" w:pos="7776"/>
        </w:tabs>
        <w:ind w:left="7776" w:hanging="360"/>
      </w:pPr>
      <w:rPr>
        <w:rFonts w:ascii="Times New Roman" w:hAnsi="Times New Roman" w:hint="default"/>
      </w:rPr>
    </w:lvl>
    <w:lvl w:ilvl="5" w:tplc="1A6C203E" w:tentative="1">
      <w:start w:val="1"/>
      <w:numFmt w:val="bullet"/>
      <w:lvlText w:val="•"/>
      <w:lvlJc w:val="left"/>
      <w:pPr>
        <w:tabs>
          <w:tab w:val="num" w:pos="8496"/>
        </w:tabs>
        <w:ind w:left="8496" w:hanging="360"/>
      </w:pPr>
      <w:rPr>
        <w:rFonts w:ascii="Times New Roman" w:hAnsi="Times New Roman" w:hint="default"/>
      </w:rPr>
    </w:lvl>
    <w:lvl w:ilvl="6" w:tplc="4B569E70" w:tentative="1">
      <w:start w:val="1"/>
      <w:numFmt w:val="bullet"/>
      <w:lvlText w:val="•"/>
      <w:lvlJc w:val="left"/>
      <w:pPr>
        <w:tabs>
          <w:tab w:val="num" w:pos="9216"/>
        </w:tabs>
        <w:ind w:left="9216" w:hanging="360"/>
      </w:pPr>
      <w:rPr>
        <w:rFonts w:ascii="Times New Roman" w:hAnsi="Times New Roman" w:hint="default"/>
      </w:rPr>
    </w:lvl>
    <w:lvl w:ilvl="7" w:tplc="A96AEC00" w:tentative="1">
      <w:start w:val="1"/>
      <w:numFmt w:val="bullet"/>
      <w:lvlText w:val="•"/>
      <w:lvlJc w:val="left"/>
      <w:pPr>
        <w:tabs>
          <w:tab w:val="num" w:pos="9936"/>
        </w:tabs>
        <w:ind w:left="9936" w:hanging="360"/>
      </w:pPr>
      <w:rPr>
        <w:rFonts w:ascii="Times New Roman" w:hAnsi="Times New Roman" w:hint="default"/>
      </w:rPr>
    </w:lvl>
    <w:lvl w:ilvl="8" w:tplc="6DBC5CA8" w:tentative="1">
      <w:start w:val="1"/>
      <w:numFmt w:val="bullet"/>
      <w:lvlText w:val="•"/>
      <w:lvlJc w:val="left"/>
      <w:pPr>
        <w:tabs>
          <w:tab w:val="num" w:pos="10656"/>
        </w:tabs>
        <w:ind w:left="10656" w:hanging="360"/>
      </w:pPr>
      <w:rPr>
        <w:rFonts w:ascii="Times New Roman" w:hAnsi="Times New Roman" w:hint="default"/>
      </w:rPr>
    </w:lvl>
  </w:abstractNum>
  <w:abstractNum w:abstractNumId="1" w15:restartNumberingAfterBreak="0">
    <w:nsid w:val="0C76487B"/>
    <w:multiLevelType w:val="multilevel"/>
    <w:tmpl w:val="D338C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DE45E3"/>
    <w:multiLevelType w:val="multilevel"/>
    <w:tmpl w:val="C22CA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7A57293"/>
    <w:multiLevelType w:val="hybridMultilevel"/>
    <w:tmpl w:val="B7282CE6"/>
    <w:lvl w:ilvl="0" w:tplc="6BEA72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62388"/>
    <w:multiLevelType w:val="multilevel"/>
    <w:tmpl w:val="3E269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18C037A"/>
    <w:multiLevelType w:val="hybridMultilevel"/>
    <w:tmpl w:val="429CB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C2A2F"/>
    <w:multiLevelType w:val="hybridMultilevel"/>
    <w:tmpl w:val="07D837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40730"/>
    <w:multiLevelType w:val="multilevel"/>
    <w:tmpl w:val="EEFCD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B1"/>
    <w:rsid w:val="00027005"/>
    <w:rsid w:val="00047BA6"/>
    <w:rsid w:val="00056C6E"/>
    <w:rsid w:val="00061B78"/>
    <w:rsid w:val="00075D18"/>
    <w:rsid w:val="00096813"/>
    <w:rsid w:val="000977AC"/>
    <w:rsid w:val="000E37D5"/>
    <w:rsid w:val="00182AAC"/>
    <w:rsid w:val="001B5EF7"/>
    <w:rsid w:val="001C7993"/>
    <w:rsid w:val="001D37B3"/>
    <w:rsid w:val="001F4851"/>
    <w:rsid w:val="002911C1"/>
    <w:rsid w:val="00310DE7"/>
    <w:rsid w:val="0033307B"/>
    <w:rsid w:val="00343463"/>
    <w:rsid w:val="00346AB7"/>
    <w:rsid w:val="00346B37"/>
    <w:rsid w:val="00392024"/>
    <w:rsid w:val="00393B41"/>
    <w:rsid w:val="003A1123"/>
    <w:rsid w:val="003B2C48"/>
    <w:rsid w:val="00400A3C"/>
    <w:rsid w:val="00461E33"/>
    <w:rsid w:val="00465310"/>
    <w:rsid w:val="00473A9B"/>
    <w:rsid w:val="00475A7F"/>
    <w:rsid w:val="004E39A7"/>
    <w:rsid w:val="0055795C"/>
    <w:rsid w:val="00586935"/>
    <w:rsid w:val="006428CF"/>
    <w:rsid w:val="006A6F32"/>
    <w:rsid w:val="00731466"/>
    <w:rsid w:val="00742367"/>
    <w:rsid w:val="00756CE9"/>
    <w:rsid w:val="00761B97"/>
    <w:rsid w:val="007730C4"/>
    <w:rsid w:val="007B6EB4"/>
    <w:rsid w:val="00812491"/>
    <w:rsid w:val="00814647"/>
    <w:rsid w:val="00822ED7"/>
    <w:rsid w:val="008308F2"/>
    <w:rsid w:val="00843162"/>
    <w:rsid w:val="0087250F"/>
    <w:rsid w:val="00887498"/>
    <w:rsid w:val="00934FCD"/>
    <w:rsid w:val="009377E1"/>
    <w:rsid w:val="009477F9"/>
    <w:rsid w:val="00964190"/>
    <w:rsid w:val="009B5896"/>
    <w:rsid w:val="009C3051"/>
    <w:rsid w:val="009F76C1"/>
    <w:rsid w:val="00A260B2"/>
    <w:rsid w:val="00A275B6"/>
    <w:rsid w:val="00A343A8"/>
    <w:rsid w:val="00A73391"/>
    <w:rsid w:val="00A74179"/>
    <w:rsid w:val="00A85112"/>
    <w:rsid w:val="00A94887"/>
    <w:rsid w:val="00AA1C8F"/>
    <w:rsid w:val="00AA5BB9"/>
    <w:rsid w:val="00AC7697"/>
    <w:rsid w:val="00AD15FA"/>
    <w:rsid w:val="00AF0F46"/>
    <w:rsid w:val="00AF5DE7"/>
    <w:rsid w:val="00B35168"/>
    <w:rsid w:val="00B82782"/>
    <w:rsid w:val="00BA05A2"/>
    <w:rsid w:val="00C3346A"/>
    <w:rsid w:val="00C73517"/>
    <w:rsid w:val="00CA0AF2"/>
    <w:rsid w:val="00CC2953"/>
    <w:rsid w:val="00CE133E"/>
    <w:rsid w:val="00D06098"/>
    <w:rsid w:val="00DD063A"/>
    <w:rsid w:val="00DE416E"/>
    <w:rsid w:val="00DE7544"/>
    <w:rsid w:val="00E51015"/>
    <w:rsid w:val="00E57B4B"/>
    <w:rsid w:val="00EC20E0"/>
    <w:rsid w:val="00F433B1"/>
    <w:rsid w:val="00F87D89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79A31"/>
  <w15:chartTrackingRefBased/>
  <w15:docId w15:val="{5A4ED6B5-845B-44C4-8441-C9CF803D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112"/>
  </w:style>
  <w:style w:type="paragraph" w:styleId="Ttulo1">
    <w:name w:val="heading 1"/>
    <w:basedOn w:val="Normal"/>
    <w:next w:val="Normal"/>
    <w:link w:val="Ttulo1Char"/>
    <w:uiPriority w:val="9"/>
    <w:qFormat/>
    <w:rsid w:val="006428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33B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433B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911C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46A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6AB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6AB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6A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6AB7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42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428CF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428CF"/>
    <w:pPr>
      <w:spacing w:after="100"/>
    </w:pPr>
    <w:rPr>
      <w:rFonts w:eastAsiaTheme="minorEastAsia" w:cs="Times New Roman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DE4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E416E"/>
  </w:style>
  <w:style w:type="paragraph" w:styleId="Rodap">
    <w:name w:val="footer"/>
    <w:basedOn w:val="Normal"/>
    <w:link w:val="RodapChar"/>
    <w:uiPriority w:val="99"/>
    <w:unhideWhenUsed/>
    <w:rsid w:val="00DE4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16E"/>
  </w:style>
  <w:style w:type="paragraph" w:styleId="Sumrio2">
    <w:name w:val="toc 2"/>
    <w:basedOn w:val="Normal"/>
    <w:next w:val="Normal"/>
    <w:autoRedefine/>
    <w:uiPriority w:val="39"/>
    <w:unhideWhenUsed/>
    <w:rsid w:val="00DE416E"/>
    <w:pPr>
      <w:spacing w:after="100"/>
      <w:ind w:left="220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E416E"/>
    <w:pPr>
      <w:spacing w:after="100"/>
      <w:ind w:left="440"/>
    </w:pPr>
    <w:rPr>
      <w:rFonts w:eastAsiaTheme="minorEastAsia" w:cs="Times New Roman"/>
      <w:lang w:eastAsia="pt-BR"/>
    </w:rPr>
  </w:style>
  <w:style w:type="paragraph" w:styleId="Reviso">
    <w:name w:val="Revision"/>
    <w:hidden/>
    <w:uiPriority w:val="99"/>
    <w:semiHidden/>
    <w:rsid w:val="00182A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cb.gov.br/estabilidadefinanceira/encontreinstituica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istemas.cvm.gov.br/?CadGer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br/trabalho-e-previdencia/pt-br/assuntos/previdencia-no-servico-publico/investimentos-do-rpps/credenciamento-pelos-rpps-das-instituicoes-e-produtos-de-investiment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3.bcb.gov.br/certiaut/emissao/emissao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stemas.cvm.gov.br/port/processos/consultaprocessos.as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ardimprev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32A78465D21943B20E6B7E93116FD5" ma:contentTypeVersion="16" ma:contentTypeDescription="Crie um novo documento." ma:contentTypeScope="" ma:versionID="1e60cfbec264d2f91caa540623c91e8f">
  <xsd:schema xmlns:xsd="http://www.w3.org/2001/XMLSchema" xmlns:xs="http://www.w3.org/2001/XMLSchema" xmlns:p="http://schemas.microsoft.com/office/2006/metadata/properties" xmlns:ns2="e591e4b8-d87e-46f2-b65d-674af47c8d4e" xmlns:ns3="54ed6347-2866-4686-b5b1-c7df6d3cd541" targetNamespace="http://schemas.microsoft.com/office/2006/metadata/properties" ma:root="true" ma:fieldsID="2e921b291e021498c3073410cf641466" ns2:_="" ns3:_="">
    <xsd:import namespace="e591e4b8-d87e-46f2-b65d-674af47c8d4e"/>
    <xsd:import namespace="54ed6347-2866-4686-b5b1-c7df6d3cd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e4b8-d87e-46f2-b65d-674af47c8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efba4ee3-10d2-4154-bd15-9737ba1bb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d6347-2866-4686-b5b1-c7df6d3cd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4531cb-074b-4b10-9c47-7c0dff069ec7}" ma:internalName="TaxCatchAll" ma:showField="CatchAllData" ma:web="54ed6347-2866-4686-b5b1-c7df6d3cd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ed6347-2866-4686-b5b1-c7df6d3cd541" xsi:nil="true"/>
    <lcf76f155ced4ddcb4097134ff3c332f xmlns="e591e4b8-d87e-46f2-b65d-674af47c8d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65C89-B0FC-45AF-88E0-FC1F63C44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1e4b8-d87e-46f2-b65d-674af47c8d4e"/>
    <ds:schemaRef ds:uri="54ed6347-2866-4686-b5b1-c7df6d3cd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31A7E-FE3E-4506-9031-79C8BBE2830B}">
  <ds:schemaRefs>
    <ds:schemaRef ds:uri="http://schemas.microsoft.com/office/2006/metadata/properties"/>
    <ds:schemaRef ds:uri="http://schemas.microsoft.com/office/infopath/2007/PartnerControls"/>
    <ds:schemaRef ds:uri="54ed6347-2866-4686-b5b1-c7df6d3cd541"/>
    <ds:schemaRef ds:uri="e591e4b8-d87e-46f2-b65d-674af47c8d4e"/>
  </ds:schemaRefs>
</ds:datastoreItem>
</file>

<file path=customXml/itemProps3.xml><?xml version="1.0" encoding="utf-8"?>
<ds:datastoreItem xmlns:ds="http://schemas.openxmlformats.org/officeDocument/2006/customXml" ds:itemID="{CB536815-1BC2-4F3E-BCFB-54467463E2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3EAE5-9FFC-4C62-AAB5-4997E542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1392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Leitão</dc:creator>
  <cp:keywords/>
  <dc:description/>
  <cp:lastModifiedBy>Notebook</cp:lastModifiedBy>
  <cp:revision>5</cp:revision>
  <dcterms:created xsi:type="dcterms:W3CDTF">2024-05-27T19:52:00Z</dcterms:created>
  <dcterms:modified xsi:type="dcterms:W3CDTF">2025-03-07T14:54:00Z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0x0101008032A78465D21943B20E6B7E93116FD5</vt:lpwstr>
  </property>
  <property fmtid="{D5CDD505-2E9C-101B-9397-08002B2CF9AE}" pid="3" name="MediaServiceImageTags">
    <vt:lpwstr/>
  </property>
</Properties>
</file>